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D4CCA" w14:textId="737E9E27" w:rsidR="003972BE" w:rsidRDefault="00F531A3" w:rsidP="00F531A3">
      <w:pPr>
        <w:jc w:val="center"/>
      </w:pPr>
      <w:r w:rsidRPr="00F531A3">
        <w:pict w14:anchorId="596C7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24.15pt;height:647.2pt">
            <v:imagedata r:id="rId7" o:title=""/>
          </v:shape>
        </w:pict>
      </w:r>
      <w:r w:rsidR="003972BE">
        <w:br w:type="page"/>
      </w:r>
    </w:p>
    <w:tbl>
      <w:tblPr>
        <w:tblpPr w:leftFromText="180" w:rightFromText="180" w:vertAnchor="page" w:horzAnchor="margin" w:tblpXSpec="center" w:tblpY="391"/>
        <w:tblW w:w="11199" w:type="dxa"/>
        <w:tblCellMar>
          <w:left w:w="0" w:type="dxa"/>
          <w:right w:w="0" w:type="dxa"/>
        </w:tblCellMar>
        <w:tblLook w:val="04A0" w:firstRow="1" w:lastRow="0" w:firstColumn="1" w:lastColumn="0" w:noHBand="0" w:noVBand="1"/>
      </w:tblPr>
      <w:tblGrid>
        <w:gridCol w:w="3205"/>
        <w:gridCol w:w="3206"/>
        <w:gridCol w:w="4788"/>
      </w:tblGrid>
      <w:tr w:rsidR="002E3CBB" w14:paraId="5D0874DF" w14:textId="77777777" w:rsidTr="002E3CBB">
        <w:trPr>
          <w:trHeight w:val="2172"/>
        </w:trPr>
        <w:tc>
          <w:tcPr>
            <w:tcW w:w="3205" w:type="dxa"/>
            <w:tcBorders>
              <w:top w:val="nil"/>
              <w:left w:val="nil"/>
              <w:bottom w:val="nil"/>
              <w:right w:val="nil"/>
            </w:tcBorders>
            <w:tcMar>
              <w:top w:w="0" w:type="dxa"/>
              <w:left w:w="108" w:type="dxa"/>
              <w:bottom w:w="0" w:type="dxa"/>
              <w:right w:w="108" w:type="dxa"/>
            </w:tcMar>
            <w:hideMark/>
          </w:tcPr>
          <w:p w14:paraId="6E252B4A" w14:textId="7CE3C9AF" w:rsidR="002E3CBB" w:rsidRDefault="00F77599" w:rsidP="002E3CBB">
            <w:pPr>
              <w:rPr>
                <w:rFonts w:ascii="Times New Roman" w:hAnsi="Times New Roman" w:cs="Times New Roman"/>
                <w:sz w:val="20"/>
              </w:rPr>
            </w:pPr>
            <w:r>
              <w:rPr>
                <w:noProof/>
              </w:rPr>
              <w:pict w14:anchorId="2C26F8D7">
                <v:shape id="_x0000_i1026" type="#_x0000_t75" style="width:50.1pt;height:43.85pt;visibility:visible;mso-wrap-style:square">
                  <v:imagedata r:id="rId8" o:title=""/>
                </v:shape>
              </w:pict>
            </w:r>
          </w:p>
          <w:p w14:paraId="22FAB843" w14:textId="77777777" w:rsidR="002E3CBB" w:rsidRDefault="002E3CBB" w:rsidP="002E3CBB">
            <w:pPr>
              <w:rPr>
                <w:rFonts w:ascii="Times New Roman" w:hAnsi="Times New Roman" w:cs="Times New Roman"/>
                <w:sz w:val="20"/>
              </w:rPr>
            </w:pPr>
            <w:r>
              <w:rPr>
                <w:rFonts w:ascii="Cambria" w:hAnsi="Cambria" w:cs="Cambria"/>
                <w:b/>
              </w:rPr>
              <w:t>ΕΛΛΗΝΙΚΗ ΔΗΜΟΚΡΑΤΙΑ</w:t>
            </w:r>
          </w:p>
          <w:p w14:paraId="077B97EB" w14:textId="50B083B2" w:rsidR="002E3CBB" w:rsidRDefault="002E3CBB" w:rsidP="002E3CBB">
            <w:pPr>
              <w:rPr>
                <w:rFonts w:ascii="Times New Roman" w:hAnsi="Times New Roman" w:cs="Times New Roman"/>
                <w:sz w:val="20"/>
              </w:rPr>
            </w:pPr>
            <w:r>
              <w:rPr>
                <w:rFonts w:ascii="Cambria" w:hAnsi="Cambria" w:cs="Cambria"/>
                <w:b/>
              </w:rPr>
              <w:t xml:space="preserve">ΔΗΜΟΣ ΜΟΣΧΑΤΟΥ ΤΑΥΡΟΥ </w:t>
            </w:r>
          </w:p>
          <w:p w14:paraId="2B7FC0FA" w14:textId="77777777" w:rsidR="002E3CBB" w:rsidRDefault="002E3CBB" w:rsidP="002E3CBB">
            <w:pPr>
              <w:rPr>
                <w:rFonts w:ascii="Cambria" w:hAnsi="Cambria" w:cs="Cambria"/>
                <w:b/>
              </w:rPr>
            </w:pPr>
          </w:p>
          <w:p w14:paraId="5F1B0FE9" w14:textId="77777777" w:rsidR="002E3CBB" w:rsidRDefault="002E3CBB" w:rsidP="002E3CBB">
            <w:pPr>
              <w:rPr>
                <w:rFonts w:ascii="Times New Roman" w:hAnsi="Times New Roman" w:cs="Times New Roman"/>
                <w:sz w:val="20"/>
              </w:rPr>
            </w:pPr>
            <w:r>
              <w:rPr>
                <w:rFonts w:ascii="Cambria" w:hAnsi="Cambria" w:cs="Cambria"/>
                <w:b/>
              </w:rPr>
              <w:t> </w:t>
            </w:r>
          </w:p>
        </w:tc>
        <w:tc>
          <w:tcPr>
            <w:tcW w:w="3206" w:type="dxa"/>
            <w:tcBorders>
              <w:top w:val="nil"/>
              <w:left w:val="nil"/>
              <w:bottom w:val="nil"/>
              <w:right w:val="nil"/>
            </w:tcBorders>
            <w:tcMar>
              <w:top w:w="0" w:type="dxa"/>
              <w:left w:w="108" w:type="dxa"/>
              <w:bottom w:w="0" w:type="dxa"/>
              <w:right w:w="108" w:type="dxa"/>
            </w:tcMar>
            <w:hideMark/>
          </w:tcPr>
          <w:p w14:paraId="2C3E365C" w14:textId="77777777" w:rsidR="002E3CBB" w:rsidRDefault="002E3CBB" w:rsidP="002E3CBB">
            <w:pPr>
              <w:jc w:val="right"/>
              <w:rPr>
                <w:rFonts w:ascii="Times New Roman" w:hAnsi="Times New Roman" w:cs="Times New Roman"/>
                <w:sz w:val="20"/>
              </w:rPr>
            </w:pPr>
            <w:r>
              <w:rPr>
                <w:rFonts w:ascii="Cambria" w:hAnsi="Cambria" w:cs="Cambria"/>
                <w:b/>
              </w:rPr>
              <w:t>ΕΡΓΟ:</w:t>
            </w:r>
          </w:p>
        </w:tc>
        <w:tc>
          <w:tcPr>
            <w:tcW w:w="4788" w:type="dxa"/>
            <w:tcBorders>
              <w:top w:val="nil"/>
              <w:left w:val="nil"/>
              <w:bottom w:val="nil"/>
              <w:right w:val="nil"/>
            </w:tcBorders>
            <w:tcMar>
              <w:top w:w="0" w:type="dxa"/>
              <w:left w:w="108" w:type="dxa"/>
              <w:bottom w:w="0" w:type="dxa"/>
              <w:right w:w="108" w:type="dxa"/>
            </w:tcMar>
            <w:hideMark/>
          </w:tcPr>
          <w:p w14:paraId="69B843A8" w14:textId="77777777" w:rsidR="002E3CBB" w:rsidRDefault="002E3CBB" w:rsidP="002E3CBB">
            <w:pPr>
              <w:spacing w:before="45" w:line="276" w:lineRule="auto"/>
              <w:ind w:right="46"/>
              <w:rPr>
                <w:rFonts w:ascii="Times New Roman" w:hAnsi="Times New Roman" w:cs="Times New Roman"/>
                <w:sz w:val="24"/>
              </w:rPr>
            </w:pPr>
            <w:r>
              <w:rPr>
                <w:b/>
                <w:i/>
                <w:sz w:val="24"/>
              </w:rPr>
              <w:t>«</w:t>
            </w:r>
            <w:r>
              <w:rPr>
                <w:rFonts w:ascii="Cambria" w:hAnsi="Cambria" w:cs="Cambria"/>
                <w:b/>
              </w:rPr>
              <w:t>Εργασίες διαμόρφωσης για την προσαρμογή λειτουργούντων δημοτικών βρεφικών, παιδικών και βρεφονηπιακών σταθμών στις προδιαγραφές του νέου θεσμικού πλαισίου αδειοδότησης σύμφωνα με τις διατάξεις του π.δ. 99/2017</w:t>
            </w:r>
            <w:r>
              <w:rPr>
                <w:b/>
                <w:i/>
                <w:sz w:val="24"/>
              </w:rPr>
              <w:t>»</w:t>
            </w:r>
          </w:p>
        </w:tc>
      </w:tr>
      <w:tr w:rsidR="002E3CBB" w14:paraId="782FF109" w14:textId="77777777" w:rsidTr="002E3CBB">
        <w:trPr>
          <w:trHeight w:val="984"/>
        </w:trPr>
        <w:tc>
          <w:tcPr>
            <w:tcW w:w="3205" w:type="dxa"/>
            <w:tcBorders>
              <w:top w:val="nil"/>
              <w:left w:val="nil"/>
              <w:bottom w:val="nil"/>
              <w:right w:val="nil"/>
            </w:tcBorders>
            <w:tcMar>
              <w:top w:w="0" w:type="dxa"/>
              <w:left w:w="108" w:type="dxa"/>
              <w:bottom w:w="0" w:type="dxa"/>
              <w:right w:w="108" w:type="dxa"/>
            </w:tcMar>
            <w:hideMark/>
          </w:tcPr>
          <w:p w14:paraId="28787DFB" w14:textId="77777777" w:rsidR="002E3CBB" w:rsidRDefault="002E3CBB" w:rsidP="002E3CBB">
            <w:pPr>
              <w:rPr>
                <w:rFonts w:ascii="Times New Roman" w:hAnsi="Times New Roman" w:cs="Times New Roman"/>
                <w:sz w:val="20"/>
              </w:rPr>
            </w:pPr>
            <w:r>
              <w:rPr>
                <w:rFonts w:ascii="Times New Roman" w:hAnsi="Times New Roman" w:cs="Times New Roman"/>
                <w:sz w:val="20"/>
              </w:rPr>
              <w:t> </w:t>
            </w:r>
          </w:p>
        </w:tc>
        <w:tc>
          <w:tcPr>
            <w:tcW w:w="3206" w:type="dxa"/>
            <w:tcBorders>
              <w:top w:val="nil"/>
              <w:left w:val="nil"/>
              <w:bottom w:val="nil"/>
              <w:right w:val="nil"/>
            </w:tcBorders>
            <w:tcMar>
              <w:top w:w="0" w:type="dxa"/>
              <w:left w:w="108" w:type="dxa"/>
              <w:bottom w:w="0" w:type="dxa"/>
              <w:right w:w="108" w:type="dxa"/>
            </w:tcMar>
            <w:hideMark/>
          </w:tcPr>
          <w:p w14:paraId="3185E066" w14:textId="77777777" w:rsidR="002E3CBB" w:rsidRDefault="002E3CBB" w:rsidP="002E3CBB">
            <w:pPr>
              <w:jc w:val="right"/>
              <w:rPr>
                <w:rFonts w:ascii="Times New Roman" w:hAnsi="Times New Roman" w:cs="Times New Roman"/>
                <w:sz w:val="20"/>
              </w:rPr>
            </w:pPr>
            <w:r>
              <w:rPr>
                <w:rFonts w:ascii="Cambria" w:hAnsi="Cambria" w:cs="Cambria"/>
                <w:b/>
                <w:sz w:val="20"/>
              </w:rPr>
              <w:t>ΧΡΗΜΑΤΟΔΟΤΗΣΗ:</w:t>
            </w:r>
          </w:p>
        </w:tc>
        <w:tc>
          <w:tcPr>
            <w:tcW w:w="4788" w:type="dxa"/>
            <w:tcBorders>
              <w:top w:val="nil"/>
              <w:left w:val="nil"/>
              <w:bottom w:val="nil"/>
              <w:right w:val="nil"/>
            </w:tcBorders>
            <w:tcMar>
              <w:top w:w="0" w:type="dxa"/>
              <w:left w:w="108" w:type="dxa"/>
              <w:bottom w:w="0" w:type="dxa"/>
              <w:right w:w="108" w:type="dxa"/>
            </w:tcMar>
            <w:hideMark/>
          </w:tcPr>
          <w:p w14:paraId="77FE7734" w14:textId="2AF863A7" w:rsidR="002E3CBB" w:rsidRDefault="002E3CBB" w:rsidP="002E3CBB">
            <w:pPr>
              <w:rPr>
                <w:rFonts w:ascii="Times New Roman" w:hAnsi="Times New Roman" w:cs="Times New Roman"/>
                <w:sz w:val="20"/>
              </w:rPr>
            </w:pPr>
          </w:p>
        </w:tc>
      </w:tr>
      <w:tr w:rsidR="002E3CBB" w14:paraId="4F4F93E6" w14:textId="77777777" w:rsidTr="002E3CBB">
        <w:trPr>
          <w:trHeight w:val="362"/>
        </w:trPr>
        <w:tc>
          <w:tcPr>
            <w:tcW w:w="3205" w:type="dxa"/>
            <w:tcBorders>
              <w:top w:val="nil"/>
              <w:left w:val="nil"/>
              <w:bottom w:val="nil"/>
              <w:right w:val="nil"/>
            </w:tcBorders>
            <w:tcMar>
              <w:top w:w="0" w:type="dxa"/>
              <w:left w:w="108" w:type="dxa"/>
              <w:bottom w:w="0" w:type="dxa"/>
              <w:right w:w="108" w:type="dxa"/>
            </w:tcMar>
            <w:hideMark/>
          </w:tcPr>
          <w:p w14:paraId="623EDCE1" w14:textId="77777777" w:rsidR="002E3CBB" w:rsidRDefault="002E3CBB" w:rsidP="002E3CBB">
            <w:pPr>
              <w:rPr>
                <w:rFonts w:ascii="Times New Roman" w:hAnsi="Times New Roman" w:cs="Times New Roman"/>
                <w:sz w:val="20"/>
              </w:rPr>
            </w:pPr>
            <w:r>
              <w:rPr>
                <w:rFonts w:ascii="Times New Roman" w:hAnsi="Times New Roman" w:cs="Times New Roman"/>
                <w:sz w:val="20"/>
              </w:rPr>
              <w:t> </w:t>
            </w:r>
          </w:p>
        </w:tc>
        <w:tc>
          <w:tcPr>
            <w:tcW w:w="3206" w:type="dxa"/>
            <w:tcBorders>
              <w:top w:val="nil"/>
              <w:left w:val="nil"/>
              <w:bottom w:val="nil"/>
              <w:right w:val="nil"/>
            </w:tcBorders>
            <w:tcMar>
              <w:top w:w="0" w:type="dxa"/>
              <w:left w:w="108" w:type="dxa"/>
              <w:bottom w:w="0" w:type="dxa"/>
              <w:right w:w="108" w:type="dxa"/>
            </w:tcMar>
            <w:hideMark/>
          </w:tcPr>
          <w:p w14:paraId="20AC9242" w14:textId="77777777" w:rsidR="002E3CBB" w:rsidRDefault="002E3CBB" w:rsidP="002E3CBB">
            <w:pPr>
              <w:jc w:val="right"/>
              <w:rPr>
                <w:rFonts w:ascii="Times New Roman" w:hAnsi="Times New Roman" w:cs="Times New Roman"/>
                <w:sz w:val="20"/>
              </w:rPr>
            </w:pPr>
            <w:r>
              <w:rPr>
                <w:rFonts w:ascii="Cambria" w:hAnsi="Cambria" w:cs="Cambria"/>
                <w:b/>
                <w:sz w:val="20"/>
              </w:rPr>
              <w:t>ΠΡΟΥΠΟΛΟΓΙΣΜΟΣ:</w:t>
            </w:r>
          </w:p>
        </w:tc>
        <w:tc>
          <w:tcPr>
            <w:tcW w:w="4788" w:type="dxa"/>
            <w:tcBorders>
              <w:top w:val="nil"/>
              <w:left w:val="nil"/>
              <w:bottom w:val="nil"/>
              <w:right w:val="nil"/>
            </w:tcBorders>
            <w:tcMar>
              <w:top w:w="0" w:type="dxa"/>
              <w:left w:w="108" w:type="dxa"/>
              <w:bottom w:w="0" w:type="dxa"/>
              <w:right w:w="108" w:type="dxa"/>
            </w:tcMar>
            <w:hideMark/>
          </w:tcPr>
          <w:p w14:paraId="1773C4BF" w14:textId="77777777" w:rsidR="002E3CBB" w:rsidRDefault="002E3CBB" w:rsidP="002E3CBB">
            <w:pPr>
              <w:rPr>
                <w:rFonts w:ascii="Times New Roman" w:hAnsi="Times New Roman" w:cs="Times New Roman"/>
                <w:sz w:val="20"/>
              </w:rPr>
            </w:pPr>
            <w:r>
              <w:rPr>
                <w:rFonts w:ascii="Cambria" w:hAnsi="Cambria" w:cs="Cambria"/>
                <w:b/>
                <w:sz w:val="20"/>
              </w:rPr>
              <w:t>300.000,00€</w:t>
            </w:r>
          </w:p>
        </w:tc>
      </w:tr>
      <w:tr w:rsidR="002E3CBB" w14:paraId="62F6B654" w14:textId="77777777" w:rsidTr="002E3CBB">
        <w:trPr>
          <w:trHeight w:val="382"/>
        </w:trPr>
        <w:tc>
          <w:tcPr>
            <w:tcW w:w="3205" w:type="dxa"/>
            <w:tcBorders>
              <w:top w:val="nil"/>
              <w:left w:val="nil"/>
              <w:bottom w:val="nil"/>
              <w:right w:val="nil"/>
            </w:tcBorders>
            <w:tcMar>
              <w:top w:w="0" w:type="dxa"/>
              <w:left w:w="108" w:type="dxa"/>
              <w:bottom w:w="0" w:type="dxa"/>
              <w:right w:w="108" w:type="dxa"/>
            </w:tcMar>
            <w:hideMark/>
          </w:tcPr>
          <w:p w14:paraId="3AE9C774" w14:textId="77777777" w:rsidR="002E3CBB" w:rsidRDefault="002E3CBB" w:rsidP="002E3CBB">
            <w:pPr>
              <w:rPr>
                <w:rFonts w:ascii="Times New Roman" w:hAnsi="Times New Roman" w:cs="Times New Roman"/>
                <w:sz w:val="20"/>
              </w:rPr>
            </w:pPr>
            <w:r>
              <w:rPr>
                <w:rFonts w:ascii="Times New Roman" w:hAnsi="Times New Roman" w:cs="Times New Roman"/>
                <w:sz w:val="20"/>
              </w:rPr>
              <w:t> </w:t>
            </w:r>
          </w:p>
        </w:tc>
        <w:tc>
          <w:tcPr>
            <w:tcW w:w="3206" w:type="dxa"/>
            <w:tcBorders>
              <w:top w:val="nil"/>
              <w:left w:val="nil"/>
              <w:bottom w:val="nil"/>
              <w:right w:val="nil"/>
            </w:tcBorders>
            <w:tcMar>
              <w:top w:w="0" w:type="dxa"/>
              <w:left w:w="108" w:type="dxa"/>
              <w:bottom w:w="0" w:type="dxa"/>
              <w:right w:w="108" w:type="dxa"/>
            </w:tcMar>
            <w:hideMark/>
          </w:tcPr>
          <w:p w14:paraId="3595925F" w14:textId="77777777" w:rsidR="002E3CBB" w:rsidRDefault="002E3CBB" w:rsidP="002E3CBB">
            <w:pPr>
              <w:jc w:val="right"/>
              <w:rPr>
                <w:rFonts w:ascii="Times New Roman" w:hAnsi="Times New Roman" w:cs="Times New Roman"/>
                <w:sz w:val="20"/>
              </w:rPr>
            </w:pPr>
            <w:r>
              <w:rPr>
                <w:rFonts w:ascii="Cambria" w:hAnsi="Cambria" w:cs="Cambria"/>
                <w:b/>
                <w:sz w:val="20"/>
              </w:rPr>
              <w:t>ΑΡΙΘΜΟΣ ΜΕΛΕΤΗΣ:</w:t>
            </w:r>
          </w:p>
        </w:tc>
        <w:tc>
          <w:tcPr>
            <w:tcW w:w="4788" w:type="dxa"/>
            <w:tcBorders>
              <w:top w:val="nil"/>
              <w:left w:val="nil"/>
              <w:bottom w:val="nil"/>
              <w:right w:val="nil"/>
            </w:tcBorders>
            <w:tcMar>
              <w:top w:w="0" w:type="dxa"/>
              <w:left w:w="108" w:type="dxa"/>
              <w:bottom w:w="0" w:type="dxa"/>
              <w:right w:w="108" w:type="dxa"/>
            </w:tcMar>
            <w:hideMark/>
          </w:tcPr>
          <w:p w14:paraId="461D0933" w14:textId="48336E5F" w:rsidR="002E3CBB" w:rsidRDefault="00293B26" w:rsidP="002E3CBB">
            <w:pPr>
              <w:rPr>
                <w:rFonts w:ascii="Times New Roman" w:hAnsi="Times New Roman" w:cs="Times New Roman"/>
                <w:sz w:val="20"/>
              </w:rPr>
            </w:pPr>
            <w:r>
              <w:rPr>
                <w:rFonts w:ascii="Cambria" w:hAnsi="Cambria" w:cs="Cambria"/>
                <w:b/>
                <w:sz w:val="20"/>
              </w:rPr>
              <w:t>……</w:t>
            </w:r>
            <w:r w:rsidR="002E3CBB">
              <w:rPr>
                <w:rFonts w:ascii="Cambria" w:hAnsi="Cambria" w:cs="Cambria"/>
                <w:b/>
                <w:sz w:val="20"/>
              </w:rPr>
              <w:t>/…</w:t>
            </w:r>
            <w:r>
              <w:rPr>
                <w:rFonts w:ascii="Cambria" w:hAnsi="Cambria" w:cs="Cambria"/>
                <w:b/>
                <w:sz w:val="20"/>
              </w:rPr>
              <w:t>…</w:t>
            </w:r>
          </w:p>
        </w:tc>
      </w:tr>
      <w:tr w:rsidR="002E3CBB" w14:paraId="1DD23E3D" w14:textId="77777777" w:rsidTr="002E3CBB">
        <w:trPr>
          <w:trHeight w:val="552"/>
        </w:trPr>
        <w:tc>
          <w:tcPr>
            <w:tcW w:w="3205" w:type="dxa"/>
            <w:tcBorders>
              <w:top w:val="nil"/>
              <w:left w:val="nil"/>
              <w:bottom w:val="nil"/>
              <w:right w:val="nil"/>
            </w:tcBorders>
            <w:tcMar>
              <w:top w:w="0" w:type="dxa"/>
              <w:left w:w="108" w:type="dxa"/>
              <w:bottom w:w="0" w:type="dxa"/>
              <w:right w:w="108" w:type="dxa"/>
            </w:tcMar>
            <w:hideMark/>
          </w:tcPr>
          <w:p w14:paraId="2DBD9553" w14:textId="77777777" w:rsidR="002E3CBB" w:rsidRDefault="002E3CBB" w:rsidP="002E3CBB">
            <w:pPr>
              <w:rPr>
                <w:rFonts w:ascii="Times New Roman" w:hAnsi="Times New Roman" w:cs="Times New Roman"/>
                <w:sz w:val="20"/>
              </w:rPr>
            </w:pPr>
            <w:r>
              <w:rPr>
                <w:rFonts w:ascii="Times New Roman" w:hAnsi="Times New Roman" w:cs="Times New Roman"/>
                <w:sz w:val="20"/>
              </w:rPr>
              <w:t> </w:t>
            </w:r>
          </w:p>
        </w:tc>
        <w:tc>
          <w:tcPr>
            <w:tcW w:w="3206" w:type="dxa"/>
            <w:tcBorders>
              <w:top w:val="nil"/>
              <w:left w:val="nil"/>
              <w:bottom w:val="nil"/>
              <w:right w:val="nil"/>
            </w:tcBorders>
            <w:tcMar>
              <w:top w:w="0" w:type="dxa"/>
              <w:left w:w="108" w:type="dxa"/>
              <w:bottom w:w="0" w:type="dxa"/>
              <w:right w:w="108" w:type="dxa"/>
            </w:tcMar>
            <w:hideMark/>
          </w:tcPr>
          <w:p w14:paraId="5D165EB4" w14:textId="77777777" w:rsidR="002E3CBB" w:rsidRDefault="002E3CBB" w:rsidP="002E3CBB">
            <w:pPr>
              <w:jc w:val="right"/>
              <w:rPr>
                <w:rFonts w:ascii="Times New Roman" w:hAnsi="Times New Roman" w:cs="Times New Roman"/>
                <w:sz w:val="20"/>
              </w:rPr>
            </w:pPr>
            <w:r>
              <w:rPr>
                <w:rFonts w:ascii="Cambria" w:hAnsi="Cambria" w:cs="Cambria"/>
                <w:b/>
                <w:sz w:val="20"/>
              </w:rPr>
              <w:t>CPV:</w:t>
            </w:r>
          </w:p>
        </w:tc>
        <w:tc>
          <w:tcPr>
            <w:tcW w:w="4788" w:type="dxa"/>
            <w:tcBorders>
              <w:top w:val="nil"/>
              <w:left w:val="nil"/>
              <w:bottom w:val="nil"/>
              <w:right w:val="nil"/>
            </w:tcBorders>
            <w:tcMar>
              <w:top w:w="0" w:type="dxa"/>
              <w:left w:w="108" w:type="dxa"/>
              <w:bottom w:w="0" w:type="dxa"/>
              <w:right w:w="108" w:type="dxa"/>
            </w:tcMar>
            <w:hideMark/>
          </w:tcPr>
          <w:p w14:paraId="3E3BF928" w14:textId="77777777" w:rsidR="002E3CBB" w:rsidRDefault="002E3CBB" w:rsidP="002E3CBB">
            <w:pPr>
              <w:rPr>
                <w:rFonts w:ascii="Times New Roman" w:hAnsi="Times New Roman" w:cs="Times New Roman"/>
                <w:sz w:val="20"/>
              </w:rPr>
            </w:pPr>
            <w:r>
              <w:rPr>
                <w:rFonts w:ascii="Cambria" w:hAnsi="Cambria" w:cs="Cambria"/>
                <w:b/>
                <w:sz w:val="20"/>
              </w:rPr>
              <w:t>………….</w:t>
            </w:r>
          </w:p>
        </w:tc>
      </w:tr>
    </w:tbl>
    <w:p w14:paraId="41CB9E2C" w14:textId="77777777" w:rsidR="00453714" w:rsidRDefault="00453714"/>
    <w:p w14:paraId="3B7FC6D1" w14:textId="77777777" w:rsidR="00453714" w:rsidRDefault="00453714">
      <w:pPr>
        <w:rPr>
          <w:sz w:val="24"/>
        </w:rPr>
      </w:pPr>
    </w:p>
    <w:p w14:paraId="2FFB08AF" w14:textId="77777777" w:rsidR="00453714" w:rsidRDefault="00453714">
      <w:pPr>
        <w:rPr>
          <w:sz w:val="24"/>
        </w:rPr>
      </w:pPr>
    </w:p>
    <w:p w14:paraId="4C88E35C" w14:textId="77777777" w:rsidR="00453714" w:rsidRDefault="00453714">
      <w:pPr>
        <w:rPr>
          <w:sz w:val="24"/>
          <w:lang w:val="en-US"/>
        </w:rPr>
      </w:pPr>
    </w:p>
    <w:p w14:paraId="70A7E538" w14:textId="442EB65B" w:rsidR="00FE70C8" w:rsidRDefault="00FE70C8" w:rsidP="00FE70C8">
      <w:bookmarkStart w:id="0" w:name="_Hlk95739569"/>
    </w:p>
    <w:p w14:paraId="4F169A73" w14:textId="77777777" w:rsidR="004F11B3" w:rsidRDefault="004F11B3" w:rsidP="00FE70C8">
      <w:pPr>
        <w:rPr>
          <w:b/>
          <w:sz w:val="44"/>
        </w:rPr>
      </w:pPr>
    </w:p>
    <w:p w14:paraId="622727A8" w14:textId="77777777" w:rsidR="00FE70C8" w:rsidRDefault="00FE70C8" w:rsidP="00FE70C8">
      <w:pPr>
        <w:rPr>
          <w:b/>
          <w:sz w:val="44"/>
        </w:rPr>
      </w:pPr>
    </w:p>
    <w:p w14:paraId="78EB64E1" w14:textId="77777777" w:rsidR="00FE70C8" w:rsidRDefault="00FE70C8" w:rsidP="00FE70C8">
      <w:pPr>
        <w:rPr>
          <w:b/>
          <w:sz w:val="44"/>
        </w:rPr>
      </w:pPr>
    </w:p>
    <w:p w14:paraId="20CD2E0F" w14:textId="2FD42710" w:rsidR="00453714" w:rsidRDefault="00AD5C8C" w:rsidP="00FE70C8">
      <w:pPr>
        <w:rPr>
          <w:b/>
          <w:sz w:val="44"/>
        </w:rPr>
      </w:pPr>
      <w:r>
        <w:rPr>
          <w:b/>
          <w:sz w:val="44"/>
        </w:rPr>
        <w:t>ΦΑΚΕΛΟΣ ΑΣΦΑΛΕΙΑΣ ΚΑΙ ΥΓΕΙΑΣ (Φ.Α.Υ.)</w:t>
      </w:r>
    </w:p>
    <w:p w14:paraId="7A6CBEBA" w14:textId="45FCDA10" w:rsidR="00453714" w:rsidRDefault="00AD5C8C">
      <w:pPr>
        <w:jc w:val="center"/>
        <w:rPr>
          <w:sz w:val="24"/>
        </w:rPr>
      </w:pPr>
      <w:r>
        <w:rPr>
          <w:sz w:val="24"/>
        </w:rPr>
        <w:t>(Π.Δ. 305/96, άρθρο 3, παράγραφοι 3, 7, 8, 9, 10, 11)</w:t>
      </w:r>
    </w:p>
    <w:bookmarkEnd w:id="0"/>
    <w:p w14:paraId="38DDD823" w14:textId="77777777" w:rsidR="00453714" w:rsidRDefault="00453714"/>
    <w:p w14:paraId="31B98637" w14:textId="77777777" w:rsidR="00453714" w:rsidRDefault="00453714">
      <w:pPr>
        <w:spacing w:after="160" w:line="259" w:lineRule="auto"/>
      </w:pPr>
    </w:p>
    <w:p w14:paraId="355EBB1B" w14:textId="77777777" w:rsidR="00453714" w:rsidRDefault="00453714">
      <w:pPr>
        <w:spacing w:after="160" w:line="259" w:lineRule="auto"/>
      </w:pPr>
    </w:p>
    <w:p w14:paraId="0E3CCD75" w14:textId="77777777" w:rsidR="00453714" w:rsidRDefault="00453714">
      <w:pPr>
        <w:spacing w:after="160" w:line="259" w:lineRule="auto"/>
      </w:pPr>
    </w:p>
    <w:p w14:paraId="4DA2C264" w14:textId="77777777" w:rsidR="00453714" w:rsidRDefault="00453714">
      <w:pPr>
        <w:spacing w:after="160" w:line="259" w:lineRule="auto"/>
      </w:pPr>
    </w:p>
    <w:p w14:paraId="78085BB4" w14:textId="77777777" w:rsidR="00453714" w:rsidRDefault="00453714">
      <w:pPr>
        <w:spacing w:after="160" w:line="259" w:lineRule="auto"/>
      </w:pPr>
    </w:p>
    <w:p w14:paraId="73B2FF60" w14:textId="77777777" w:rsidR="00453714" w:rsidRDefault="00453714">
      <w:pPr>
        <w:spacing w:after="160" w:line="259" w:lineRule="auto"/>
      </w:pPr>
    </w:p>
    <w:p w14:paraId="7324F73D" w14:textId="77777777" w:rsidR="00453714" w:rsidRDefault="00AD5C8C">
      <w:pPr>
        <w:spacing w:after="160" w:line="259" w:lineRule="auto"/>
      </w:pPr>
      <w:r>
        <w:br w:type="page"/>
      </w:r>
    </w:p>
    <w:p w14:paraId="6C2DC30A" w14:textId="77777777" w:rsidR="00453714" w:rsidRDefault="00AD5C8C">
      <w:pPr>
        <w:pStyle w:val="a9"/>
        <w:spacing w:before="60"/>
        <w:rPr>
          <w:b/>
          <w:color w:val="auto"/>
          <w:sz w:val="36"/>
          <w:lang w:val="el-GR"/>
        </w:rPr>
      </w:pPr>
      <w:bookmarkStart w:id="1" w:name="_Toc1779079191"/>
      <w:r>
        <w:rPr>
          <w:b/>
          <w:color w:val="auto"/>
          <w:sz w:val="36"/>
          <w:lang w:val="el-GR"/>
        </w:rPr>
        <w:t>Περιεχόμενα</w:t>
      </w:r>
      <w:bookmarkEnd w:id="1"/>
    </w:p>
    <w:p w14:paraId="32A0356B" w14:textId="258207DE" w:rsidR="00453714" w:rsidRDefault="00AD5C8C">
      <w:pPr>
        <w:pStyle w:val="10"/>
        <w:rPr>
          <w:b/>
        </w:rPr>
      </w:pPr>
      <w:r>
        <w:rPr>
          <w:b/>
          <w:color w:val="auto"/>
          <w:sz w:val="36"/>
        </w:rPr>
        <w:fldChar w:fldCharType="begin"/>
      </w:r>
      <w:r>
        <w:rPr>
          <w:b/>
        </w:rPr>
        <w:instrText xml:space="preserve"> TOC \o "1-3" \h \z \u </w:instrText>
      </w:r>
      <w:r>
        <w:rPr>
          <w:b/>
        </w:rPr>
        <w:fldChar w:fldCharType="separate"/>
      </w:r>
      <w:hyperlink w:anchor="_Toc1779079191">
        <w:r>
          <w:rPr>
            <w:b/>
          </w:rPr>
          <w:t>Περιεχόμενα</w:t>
        </w:r>
        <w:r>
          <w:rPr>
            <w:b/>
          </w:rPr>
          <w:tab/>
        </w:r>
      </w:hyperlink>
      <w:r>
        <w:rPr>
          <w:b/>
        </w:rPr>
        <w:fldChar w:fldCharType="begin"/>
      </w:r>
      <w:r>
        <w:rPr>
          <w:b/>
        </w:rPr>
        <w:instrText>PAGEREF _Toc1779079191</w:instrText>
      </w:r>
      <w:r>
        <w:rPr>
          <w:b/>
        </w:rPr>
        <w:fldChar w:fldCharType="separate"/>
      </w:r>
      <w:r w:rsidR="005B2BB6">
        <w:rPr>
          <w:b/>
          <w:noProof/>
        </w:rPr>
        <w:t>3</w:t>
      </w:r>
      <w:r>
        <w:rPr>
          <w:b/>
        </w:rPr>
        <w:fldChar w:fldCharType="end"/>
      </w:r>
    </w:p>
    <w:p w14:paraId="472E1B2B" w14:textId="7E381659" w:rsidR="00453714" w:rsidRDefault="00F77599">
      <w:pPr>
        <w:pStyle w:val="10"/>
        <w:rPr>
          <w:b/>
        </w:rPr>
      </w:pPr>
      <w:hyperlink w:anchor="_Toc566315084">
        <w:r w:rsidR="00AD5C8C">
          <w:rPr>
            <w:b/>
          </w:rPr>
          <w:t>1.</w:t>
        </w:r>
        <w:r w:rsidR="00AD5C8C">
          <w:rPr>
            <w:b/>
          </w:rPr>
          <w:tab/>
          <w:t>ΕΙΣΑΓΩΓΗ</w:t>
        </w:r>
        <w:r w:rsidR="00AD5C8C">
          <w:rPr>
            <w:b/>
          </w:rPr>
          <w:tab/>
        </w:r>
      </w:hyperlink>
      <w:r w:rsidR="00AD5C8C">
        <w:rPr>
          <w:b/>
        </w:rPr>
        <w:fldChar w:fldCharType="begin"/>
      </w:r>
      <w:r w:rsidR="00AD5C8C">
        <w:rPr>
          <w:b/>
        </w:rPr>
        <w:instrText>PAGEREF _Toc566315084</w:instrText>
      </w:r>
      <w:r w:rsidR="00AD5C8C">
        <w:rPr>
          <w:b/>
        </w:rPr>
        <w:fldChar w:fldCharType="separate"/>
      </w:r>
      <w:r w:rsidR="005B2BB6">
        <w:rPr>
          <w:b/>
          <w:noProof/>
        </w:rPr>
        <w:t>4</w:t>
      </w:r>
      <w:r w:rsidR="00AD5C8C">
        <w:rPr>
          <w:b/>
        </w:rPr>
        <w:fldChar w:fldCharType="end"/>
      </w:r>
    </w:p>
    <w:p w14:paraId="4ED51D88" w14:textId="460EDC5A" w:rsidR="00453714" w:rsidRDefault="00F77599">
      <w:pPr>
        <w:pStyle w:val="10"/>
        <w:rPr>
          <w:b/>
        </w:rPr>
      </w:pPr>
      <w:hyperlink w:anchor="_Toc262076">
        <w:r w:rsidR="00AD5C8C">
          <w:rPr>
            <w:b/>
          </w:rPr>
          <w:t>2.</w:t>
        </w:r>
        <w:r w:rsidR="00AD5C8C">
          <w:rPr>
            <w:b/>
          </w:rPr>
          <w:tab/>
          <w:t>ΣΥΝΤΟΜΗ ΤΕΧΝΙΚΗ ΠΕΡΙΓΡΑΦΗ</w:t>
        </w:r>
        <w:r w:rsidR="00AD5C8C">
          <w:rPr>
            <w:b/>
          </w:rPr>
          <w:tab/>
        </w:r>
      </w:hyperlink>
      <w:r w:rsidR="00AD5C8C">
        <w:rPr>
          <w:b/>
        </w:rPr>
        <w:fldChar w:fldCharType="begin"/>
      </w:r>
      <w:r w:rsidR="00AD5C8C">
        <w:rPr>
          <w:b/>
        </w:rPr>
        <w:instrText>PAGEREF _Toc262076</w:instrText>
      </w:r>
      <w:r w:rsidR="00AD5C8C">
        <w:rPr>
          <w:b/>
        </w:rPr>
        <w:fldChar w:fldCharType="separate"/>
      </w:r>
      <w:r w:rsidR="005B2BB6">
        <w:rPr>
          <w:b/>
          <w:noProof/>
        </w:rPr>
        <w:t>4</w:t>
      </w:r>
      <w:r w:rsidR="00AD5C8C">
        <w:rPr>
          <w:b/>
        </w:rPr>
        <w:fldChar w:fldCharType="end"/>
      </w:r>
    </w:p>
    <w:p w14:paraId="60DACD3C" w14:textId="789C09D0" w:rsidR="00453714" w:rsidRDefault="00F77599">
      <w:pPr>
        <w:pStyle w:val="10"/>
        <w:rPr>
          <w:b/>
        </w:rPr>
      </w:pPr>
      <w:hyperlink w:anchor="_Toc262077">
        <w:r w:rsidR="00AD5C8C">
          <w:rPr>
            <w:b/>
          </w:rPr>
          <w:t>3.</w:t>
        </w:r>
        <w:r w:rsidR="00AD5C8C">
          <w:rPr>
            <w:b/>
          </w:rPr>
          <w:tab/>
          <w:t>ΚΑΝΟΝΙΣΜΟΙ</w:t>
        </w:r>
        <w:r w:rsidR="00AD5C8C">
          <w:rPr>
            <w:b/>
          </w:rPr>
          <w:tab/>
        </w:r>
      </w:hyperlink>
      <w:r w:rsidR="00AD5C8C">
        <w:rPr>
          <w:b/>
        </w:rPr>
        <w:fldChar w:fldCharType="begin"/>
      </w:r>
      <w:r w:rsidR="00AD5C8C">
        <w:rPr>
          <w:b/>
        </w:rPr>
        <w:instrText>PAGEREF _Toc262077</w:instrText>
      </w:r>
      <w:r w:rsidR="00AD5C8C">
        <w:rPr>
          <w:b/>
        </w:rPr>
        <w:fldChar w:fldCharType="separate"/>
      </w:r>
      <w:r w:rsidR="005B2BB6">
        <w:rPr>
          <w:b/>
          <w:noProof/>
        </w:rPr>
        <w:t>6</w:t>
      </w:r>
      <w:r w:rsidR="00AD5C8C">
        <w:rPr>
          <w:b/>
        </w:rPr>
        <w:fldChar w:fldCharType="end"/>
      </w:r>
    </w:p>
    <w:p w14:paraId="4500670A" w14:textId="224A5D33" w:rsidR="00453714" w:rsidRDefault="00F77599">
      <w:pPr>
        <w:pStyle w:val="10"/>
        <w:rPr>
          <w:b/>
        </w:rPr>
      </w:pPr>
      <w:hyperlink w:anchor="_Toc262078">
        <w:r w:rsidR="00AD5C8C">
          <w:rPr>
            <w:b/>
          </w:rPr>
          <w:t>4.</w:t>
        </w:r>
        <w:r w:rsidR="00AD5C8C">
          <w:rPr>
            <w:b/>
          </w:rPr>
          <w:tab/>
          <w:t>ΠΑΡΑΔΟΧΕΣ</w:t>
        </w:r>
        <w:r w:rsidR="00AD5C8C">
          <w:rPr>
            <w:b/>
          </w:rPr>
          <w:tab/>
        </w:r>
      </w:hyperlink>
      <w:r w:rsidR="00AD5C8C">
        <w:rPr>
          <w:b/>
        </w:rPr>
        <w:fldChar w:fldCharType="begin"/>
      </w:r>
      <w:r w:rsidR="00AD5C8C">
        <w:rPr>
          <w:b/>
        </w:rPr>
        <w:instrText>PAGEREF _Toc262078</w:instrText>
      </w:r>
      <w:r w:rsidR="00AD5C8C">
        <w:rPr>
          <w:b/>
        </w:rPr>
        <w:fldChar w:fldCharType="separate"/>
      </w:r>
      <w:r w:rsidR="005B2BB6">
        <w:rPr>
          <w:b/>
          <w:noProof/>
        </w:rPr>
        <w:t>6</w:t>
      </w:r>
      <w:r w:rsidR="00AD5C8C">
        <w:rPr>
          <w:b/>
        </w:rPr>
        <w:fldChar w:fldCharType="end"/>
      </w:r>
    </w:p>
    <w:p w14:paraId="3B7DC838" w14:textId="2F80F306" w:rsidR="00453714" w:rsidRDefault="00F77599">
      <w:pPr>
        <w:pStyle w:val="10"/>
        <w:rPr>
          <w:b/>
        </w:rPr>
      </w:pPr>
      <w:hyperlink w:anchor="_Toc262079">
        <w:r w:rsidR="00AD5C8C">
          <w:rPr>
            <w:b/>
          </w:rPr>
          <w:t>5.</w:t>
        </w:r>
        <w:r w:rsidR="00AD5C8C">
          <w:rPr>
            <w:b/>
          </w:rPr>
          <w:tab/>
          <w:t>ΥΛΙΚΑ</w:t>
        </w:r>
        <w:r w:rsidR="00AD5C8C">
          <w:rPr>
            <w:b/>
          </w:rPr>
          <w:tab/>
        </w:r>
      </w:hyperlink>
      <w:r w:rsidR="00AD5C8C">
        <w:rPr>
          <w:b/>
        </w:rPr>
        <w:fldChar w:fldCharType="begin"/>
      </w:r>
      <w:r w:rsidR="00AD5C8C">
        <w:rPr>
          <w:b/>
        </w:rPr>
        <w:instrText>PAGEREF _Toc262079</w:instrText>
      </w:r>
      <w:r w:rsidR="00AD5C8C">
        <w:rPr>
          <w:b/>
        </w:rPr>
        <w:fldChar w:fldCharType="separate"/>
      </w:r>
      <w:r w:rsidR="005B2BB6">
        <w:rPr>
          <w:b/>
          <w:noProof/>
        </w:rPr>
        <w:t>6</w:t>
      </w:r>
      <w:r w:rsidR="00AD5C8C">
        <w:rPr>
          <w:b/>
        </w:rPr>
        <w:fldChar w:fldCharType="end"/>
      </w:r>
    </w:p>
    <w:p w14:paraId="6376E129" w14:textId="44AE0DF3" w:rsidR="00453714" w:rsidRDefault="00F77599">
      <w:pPr>
        <w:pStyle w:val="10"/>
        <w:rPr>
          <w:b/>
        </w:rPr>
      </w:pPr>
      <w:hyperlink w:anchor="_Toc259696">
        <w:r w:rsidR="00AD5C8C">
          <w:rPr>
            <w:b/>
          </w:rPr>
          <w:t>6.</w:t>
        </w:r>
        <w:r w:rsidR="00AD5C8C">
          <w:rPr>
            <w:b/>
          </w:rPr>
          <w:tab/>
          <w:t>ΧΡΗΣΙΜΕΣ ΕΠΙΣΗΜΑΝΣΕΙΣ</w:t>
        </w:r>
        <w:r w:rsidR="00AD5C8C">
          <w:rPr>
            <w:b/>
          </w:rPr>
          <w:tab/>
        </w:r>
      </w:hyperlink>
      <w:r w:rsidR="00AD5C8C">
        <w:rPr>
          <w:b/>
        </w:rPr>
        <w:fldChar w:fldCharType="begin"/>
      </w:r>
      <w:r w:rsidR="00AD5C8C">
        <w:rPr>
          <w:b/>
        </w:rPr>
        <w:instrText>PAGEREF _Toc259696</w:instrText>
      </w:r>
      <w:r w:rsidR="00AD5C8C">
        <w:rPr>
          <w:b/>
        </w:rPr>
        <w:fldChar w:fldCharType="separate"/>
      </w:r>
      <w:r w:rsidR="005B2BB6">
        <w:rPr>
          <w:b/>
          <w:noProof/>
        </w:rPr>
        <w:t>6</w:t>
      </w:r>
      <w:r w:rsidR="00AD5C8C">
        <w:rPr>
          <w:b/>
        </w:rPr>
        <w:fldChar w:fldCharType="end"/>
      </w:r>
    </w:p>
    <w:p w14:paraId="62A8D369" w14:textId="686206C9" w:rsidR="00453714" w:rsidRDefault="00F77599">
      <w:pPr>
        <w:pStyle w:val="10"/>
        <w:rPr>
          <w:b/>
        </w:rPr>
      </w:pPr>
      <w:hyperlink w:anchor="_Toc262081">
        <w:r w:rsidR="00AD5C8C">
          <w:rPr>
            <w:b/>
          </w:rPr>
          <w:t>7.</w:t>
        </w:r>
        <w:r w:rsidR="00AD5C8C">
          <w:rPr>
            <w:b/>
          </w:rPr>
          <w:tab/>
          <w:t>ΟΔΗΓΙΕΣ ΑΣΦΑΛΟΥΣ ΕΡΓΑΣΙΑΣ</w:t>
        </w:r>
        <w:r w:rsidR="00AD5C8C">
          <w:rPr>
            <w:b/>
          </w:rPr>
          <w:tab/>
        </w:r>
      </w:hyperlink>
      <w:r w:rsidR="00AD5C8C">
        <w:rPr>
          <w:b/>
        </w:rPr>
        <w:fldChar w:fldCharType="begin"/>
      </w:r>
      <w:r w:rsidR="00AD5C8C">
        <w:rPr>
          <w:b/>
        </w:rPr>
        <w:instrText>PAGEREF _Toc262081</w:instrText>
      </w:r>
      <w:r w:rsidR="00AD5C8C">
        <w:rPr>
          <w:b/>
        </w:rPr>
        <w:fldChar w:fldCharType="separate"/>
      </w:r>
      <w:r w:rsidR="005B2BB6">
        <w:rPr>
          <w:b/>
          <w:noProof/>
        </w:rPr>
        <w:t>7</w:t>
      </w:r>
      <w:r w:rsidR="00AD5C8C">
        <w:rPr>
          <w:b/>
        </w:rPr>
        <w:fldChar w:fldCharType="end"/>
      </w:r>
    </w:p>
    <w:p w14:paraId="01C3441B" w14:textId="2CB02189" w:rsidR="00453714" w:rsidRDefault="00F77599">
      <w:pPr>
        <w:pStyle w:val="10"/>
        <w:rPr>
          <w:b/>
        </w:rPr>
      </w:pPr>
      <w:hyperlink w:anchor="_Toc429194463">
        <w:r w:rsidR="00AD5C8C">
          <w:rPr>
            <w:b/>
          </w:rPr>
          <w:t>ΠΑΡΑΡΤΗΜΑ 1: ΜΕΛΕΤΕΣ ΤΟΥ ΕΡΓΟΥ - ΣΧΕΔΙΑ «AS BUILT»</w:t>
        </w:r>
        <w:r w:rsidR="00AD5C8C">
          <w:rPr>
            <w:b/>
          </w:rPr>
          <w:tab/>
        </w:r>
      </w:hyperlink>
      <w:r w:rsidR="00AD5C8C">
        <w:rPr>
          <w:b/>
        </w:rPr>
        <w:fldChar w:fldCharType="begin"/>
      </w:r>
      <w:r w:rsidR="00AD5C8C">
        <w:rPr>
          <w:b/>
        </w:rPr>
        <w:instrText>PAGEREF _Toc429194463</w:instrText>
      </w:r>
      <w:r w:rsidR="00AD5C8C">
        <w:rPr>
          <w:b/>
        </w:rPr>
        <w:fldChar w:fldCharType="separate"/>
      </w:r>
      <w:r w:rsidR="005B2BB6">
        <w:rPr>
          <w:b/>
          <w:noProof/>
        </w:rPr>
        <w:t>8</w:t>
      </w:r>
      <w:r w:rsidR="00AD5C8C">
        <w:rPr>
          <w:b/>
        </w:rPr>
        <w:fldChar w:fldCharType="end"/>
      </w:r>
    </w:p>
    <w:p w14:paraId="3B1874EF" w14:textId="28CFD2A8" w:rsidR="00453714" w:rsidRDefault="00F77599">
      <w:pPr>
        <w:pStyle w:val="10"/>
        <w:rPr>
          <w:b/>
        </w:rPr>
      </w:pPr>
      <w:hyperlink w:anchor="_Toc262083">
        <w:r w:rsidR="00AD5C8C">
          <w:rPr>
            <w:b/>
          </w:rPr>
          <w:t>ΠΑΡΑΡΤΗΜΑ 2: ΜΗΤΡΩΟ ΕΠΕΜΒΑΣΕΩΝ</w:t>
        </w:r>
        <w:r w:rsidR="00AD5C8C">
          <w:rPr>
            <w:b/>
          </w:rPr>
          <w:tab/>
        </w:r>
      </w:hyperlink>
      <w:r w:rsidR="00AD5C8C">
        <w:rPr>
          <w:b/>
        </w:rPr>
        <w:fldChar w:fldCharType="begin"/>
      </w:r>
      <w:r w:rsidR="00AD5C8C">
        <w:rPr>
          <w:b/>
        </w:rPr>
        <w:instrText>PAGEREF _Toc262083</w:instrText>
      </w:r>
      <w:r w:rsidR="00AD5C8C">
        <w:rPr>
          <w:b/>
        </w:rPr>
        <w:fldChar w:fldCharType="separate"/>
      </w:r>
      <w:r w:rsidR="005B2BB6">
        <w:rPr>
          <w:b/>
          <w:noProof/>
        </w:rPr>
        <w:t>8</w:t>
      </w:r>
      <w:r w:rsidR="00AD5C8C">
        <w:rPr>
          <w:b/>
        </w:rPr>
        <w:fldChar w:fldCharType="end"/>
      </w:r>
    </w:p>
    <w:p w14:paraId="344AC659" w14:textId="3FDF7D4F" w:rsidR="00453714" w:rsidRDefault="00F77599">
      <w:pPr>
        <w:pStyle w:val="10"/>
        <w:rPr>
          <w:b/>
        </w:rPr>
      </w:pPr>
      <w:hyperlink w:anchor="_Toc1639607469">
        <w:r w:rsidR="00AD5C8C">
          <w:rPr>
            <w:b/>
          </w:rPr>
          <w:t>ΠΑΡΑΡΤΗΜΑ 3: ΕΝΔΕΙΚΤΙΚΗ ΝΟΜΟΘΕΣΙΑ</w:t>
        </w:r>
        <w:r w:rsidR="00AD5C8C">
          <w:rPr>
            <w:b/>
          </w:rPr>
          <w:tab/>
        </w:r>
      </w:hyperlink>
      <w:r w:rsidR="00AD5C8C">
        <w:rPr>
          <w:b/>
        </w:rPr>
        <w:fldChar w:fldCharType="begin"/>
      </w:r>
      <w:r w:rsidR="00AD5C8C">
        <w:rPr>
          <w:b/>
        </w:rPr>
        <w:instrText>PAGEREF _Toc1639607469</w:instrText>
      </w:r>
      <w:r w:rsidR="00AD5C8C">
        <w:rPr>
          <w:b/>
        </w:rPr>
        <w:fldChar w:fldCharType="separate"/>
      </w:r>
      <w:r w:rsidR="005B2BB6">
        <w:rPr>
          <w:b/>
          <w:noProof/>
        </w:rPr>
        <w:t>9</w:t>
      </w:r>
      <w:r w:rsidR="00AD5C8C">
        <w:rPr>
          <w:b/>
        </w:rPr>
        <w:fldChar w:fldCharType="end"/>
      </w:r>
    </w:p>
    <w:p w14:paraId="33A826CA" w14:textId="08293BB8" w:rsidR="00453714" w:rsidRDefault="00F77599">
      <w:pPr>
        <w:pStyle w:val="10"/>
        <w:rPr>
          <w:b/>
        </w:rPr>
      </w:pPr>
      <w:hyperlink w:anchor="_Toc1157485412">
        <w:r w:rsidR="00AD5C8C">
          <w:rPr>
            <w:b/>
          </w:rPr>
          <w:t>ΠΑΡΑΡΤΗΜΑ 4: ΣΗΜΑΝΣΗ</w:t>
        </w:r>
        <w:r w:rsidR="00AD5C8C">
          <w:rPr>
            <w:b/>
          </w:rPr>
          <w:tab/>
        </w:r>
      </w:hyperlink>
      <w:r w:rsidR="00AD5C8C">
        <w:rPr>
          <w:b/>
        </w:rPr>
        <w:fldChar w:fldCharType="begin"/>
      </w:r>
      <w:r w:rsidR="00AD5C8C">
        <w:rPr>
          <w:b/>
        </w:rPr>
        <w:instrText>PAGEREF _Toc1157485412</w:instrText>
      </w:r>
      <w:r w:rsidR="00AD5C8C">
        <w:rPr>
          <w:b/>
        </w:rPr>
        <w:fldChar w:fldCharType="separate"/>
      </w:r>
      <w:r w:rsidR="005B2BB6">
        <w:rPr>
          <w:b/>
          <w:noProof/>
        </w:rPr>
        <w:t>15</w:t>
      </w:r>
      <w:r w:rsidR="00AD5C8C">
        <w:rPr>
          <w:b/>
        </w:rPr>
        <w:fldChar w:fldCharType="end"/>
      </w:r>
    </w:p>
    <w:p w14:paraId="54E4E0C8" w14:textId="77777777" w:rsidR="00453714" w:rsidRDefault="00AD5C8C">
      <w:pPr>
        <w:pStyle w:val="10"/>
        <w:rPr>
          <w:sz w:val="22"/>
        </w:rPr>
      </w:pPr>
      <w:r>
        <w:rPr>
          <w:b/>
        </w:rPr>
        <w:fldChar w:fldCharType="end"/>
      </w:r>
    </w:p>
    <w:p w14:paraId="6B904AD8" w14:textId="77777777" w:rsidR="00453714" w:rsidRDefault="00453714"/>
    <w:p w14:paraId="199439C8" w14:textId="77777777" w:rsidR="00453714" w:rsidRDefault="00453714">
      <w:pPr>
        <w:pStyle w:val="10"/>
      </w:pPr>
    </w:p>
    <w:p w14:paraId="66796421" w14:textId="77777777" w:rsidR="00453714" w:rsidRDefault="00453714">
      <w:pPr>
        <w:pStyle w:val="1"/>
        <w:spacing w:before="480"/>
        <w:ind w:hanging="360"/>
      </w:pPr>
      <w:bookmarkStart w:id="2" w:name="_Toc262075"/>
      <w:bookmarkStart w:id="3" w:name="_Toc259691"/>
    </w:p>
    <w:p w14:paraId="5A0321D9" w14:textId="77777777" w:rsidR="00453714" w:rsidRDefault="00AD5C8C">
      <w:pPr>
        <w:pStyle w:val="1"/>
        <w:numPr>
          <w:ilvl w:val="0"/>
          <w:numId w:val="1"/>
        </w:numPr>
        <w:spacing w:before="480"/>
      </w:pPr>
      <w:r>
        <w:br w:type="page"/>
      </w:r>
      <w:bookmarkStart w:id="4" w:name="_Toc566315084"/>
      <w:r>
        <w:lastRenderedPageBreak/>
        <w:t>ΕΙΣΑΓΩΓΗ</w:t>
      </w:r>
      <w:bookmarkEnd w:id="2"/>
      <w:bookmarkEnd w:id="3"/>
      <w:bookmarkEnd w:id="4"/>
    </w:p>
    <w:p w14:paraId="45367632" w14:textId="77777777" w:rsidR="00453714" w:rsidRDefault="00AD5C8C">
      <w:r>
        <w:t>Ο παρών ΦΑΥ συντάχθηκε σύμφωνα με τις προβλέψεις του ΠΔ 305/1996 «Ελάχιστες προδιαγραφές για ασφάλεια και υγεία που πρέπει να εφαρμόζονται στα προσωρινά ή κινητά εργοτάξια σε συμμόρφωση με την οδηγία 92/57/ΕΟΚ.», ΦΕΚ 212Α, 29/8/1996 και αποσκοπεί στην πρόληψη των κινδύνων κατά τις ενδεχόμενες μεταγενέστερες εργασίες καθ΄ όλη τη διάρκεια ζωής του έργου</w:t>
      </w:r>
    </w:p>
    <w:p w14:paraId="55613960" w14:textId="77777777" w:rsidR="00453714" w:rsidRDefault="00AD5C8C">
      <w:r>
        <w:t>Οι προβλέψεις του παρόντος ΦΑΥ στηρίζονται:</w:t>
      </w:r>
    </w:p>
    <w:p w14:paraId="0DE2F038" w14:textId="77777777" w:rsidR="00453714" w:rsidRDefault="00AD5C8C">
      <w:pPr>
        <w:pStyle w:val="a7"/>
        <w:numPr>
          <w:ilvl w:val="0"/>
          <w:numId w:val="2"/>
        </w:numPr>
      </w:pPr>
      <w:r>
        <w:t>Στην Ελληνική Νομοθεσία (Νομοθετήματα που αφορούν στην Υγιεινή, Υγεία και Ασφάλεια των εργαζομένων γενικά, αλλά και Νομοθετήματα που αφορούν στην Ασφάλεια για τα τεχνικά έργα και τις εργασίες που εκτελούνται σε αυτά).</w:t>
      </w:r>
    </w:p>
    <w:p w14:paraId="56264DBD" w14:textId="77777777" w:rsidR="00453714" w:rsidRDefault="00AD5C8C">
      <w:pPr>
        <w:pStyle w:val="a7"/>
        <w:numPr>
          <w:ilvl w:val="0"/>
          <w:numId w:val="2"/>
        </w:numPr>
      </w:pPr>
      <w:r>
        <w:t>Σε προδιαγραφές εξοπλισμού που πρόκειται να ενσωματωθεί στο έργο.</w:t>
      </w:r>
    </w:p>
    <w:p w14:paraId="16812ABF" w14:textId="77777777" w:rsidR="00453714" w:rsidRDefault="00AD5C8C">
      <w:pPr>
        <w:pStyle w:val="a7"/>
        <w:numPr>
          <w:ilvl w:val="0"/>
          <w:numId w:val="2"/>
        </w:numPr>
      </w:pPr>
      <w:r>
        <w:t>Σε προδιαγραφές υλικών που πρόκειται να ενσωματωθούν στο έργο.</w:t>
      </w:r>
    </w:p>
    <w:p w14:paraId="7451A81E" w14:textId="77777777" w:rsidR="00453714" w:rsidRDefault="00AD5C8C">
      <w:pPr>
        <w:pStyle w:val="a7"/>
        <w:numPr>
          <w:ilvl w:val="0"/>
          <w:numId w:val="2"/>
        </w:numPr>
      </w:pPr>
      <w:r>
        <w:t>Στην καλή πρακτική, σύμφωνα με τους κανόνες των διεθνών προτύπων, της εμπειρίας και τέχνης.</w:t>
      </w:r>
    </w:p>
    <w:p w14:paraId="7BAB72B8" w14:textId="77777777" w:rsidR="00453714" w:rsidRDefault="00AD5C8C">
      <w:r>
        <w:rPr>
          <w:b/>
        </w:rPr>
        <w:t xml:space="preserve">ΣΗΜΕΙΩΣΗ: </w:t>
      </w:r>
      <w:r>
        <w:t>Μετά την εκτέλεση του έργου, ο αναθεωρημένος ΦΑΥ πρέπει να παραδοθεί στον Κύριο του έργου. Σημειώνεται ότι σε περίπτωση διαχωρισμού του έργου σε επιμέρους ιδιοκτήτες, κάθε ιδιοκτήτης πρέπει να λάβει αντίγραφο του ΦΑΥ.</w:t>
      </w:r>
    </w:p>
    <w:p w14:paraId="7B5CE55E" w14:textId="77777777" w:rsidR="00453714" w:rsidRDefault="00AD5C8C">
      <w:r>
        <w:t>Ο ΦΑΥ περιέχει χρήσιμα στοιχεία για την ασφαλή λειτουργία και συντήρηση του έργου καθώς και για εργασίες μετατροπής του. Συνεπώς πρέπει να λαμβάνεται υπόψη κάθε φορά που κρίνεται απαραίτητο από τους εμπλεκόμενους και να ενημερώνεται εφόσον προκύπτουν στοιχεία.</w:t>
      </w:r>
    </w:p>
    <w:p w14:paraId="35D82FF9" w14:textId="77777777" w:rsidR="00453714" w:rsidRDefault="00AD5C8C">
      <w:r>
        <w:t>Σημειώνεται ότι η εφαρμογή της Ελληνικής Νομοθεσίας για την Ασφάλεια και Υγεία των εργαζομένων ελέγχεται από την αρμόδια Διεύθυνση Επιθεώρησης Ασφάλειας και Υγείας στην Εργασία του Σώματος Επιθεώρησης Εργασίας (Σ.Ε.Π.Ε.).</w:t>
      </w:r>
    </w:p>
    <w:p w14:paraId="41B541CB" w14:textId="77777777" w:rsidR="00453714" w:rsidRDefault="00AD5C8C">
      <w:r>
        <w:rPr>
          <w:b/>
        </w:rPr>
        <w:t xml:space="preserve">ΠΡΟΣΟΧΗ: </w:t>
      </w:r>
      <w:r>
        <w:t xml:space="preserve">Ο παρών ΦΑΥ σε καμία περίπτωση δεν υποκαθιστά την Ελληνική Νομοθεσία. </w:t>
      </w:r>
    </w:p>
    <w:p w14:paraId="61A9D685" w14:textId="77777777" w:rsidR="00453714" w:rsidRDefault="00AD5C8C">
      <w:pPr>
        <w:pStyle w:val="1"/>
        <w:numPr>
          <w:ilvl w:val="0"/>
          <w:numId w:val="1"/>
        </w:numPr>
        <w:spacing w:before="480"/>
        <w:ind w:left="357" w:hanging="357"/>
        <w:jc w:val="both"/>
      </w:pPr>
      <w:bookmarkStart w:id="5" w:name="_Toc262076"/>
      <w:bookmarkStart w:id="6" w:name="_Toc259692"/>
      <w:r>
        <w:t>ΣΥΝΤΟΜΗ ΤΕΧΝΙΚΗ ΠΕΡΙΓΡΑΦΗ</w:t>
      </w:r>
      <w:bookmarkEnd w:id="5"/>
      <w:bookmarkEnd w:id="6"/>
    </w:p>
    <w:p w14:paraId="4B979AFC" w14:textId="793CC698" w:rsidR="00453714" w:rsidRDefault="00AD5C8C">
      <w:r>
        <w:t xml:space="preserve">Η τεχνική περιγραφή που ακολουθεί είναι σύντομη και παρατίθεται για την ευκολότερη κατανόηση του έργου από τον αναγνώστη του ΣΑΥ. Η τεχνική περιγραφή δεν υποκαθιστά και δεν υπερισχύει της τεχνικής περιγραφής κάθε επιμέρους μελέτης του έργου. </w:t>
      </w:r>
    </w:p>
    <w:p w14:paraId="12219A41" w14:textId="77777777" w:rsidR="00453714" w:rsidRDefault="00453714"/>
    <w:p w14:paraId="2E2767E3" w14:textId="77777777" w:rsidR="00453714" w:rsidRDefault="00AD5C8C">
      <w:pPr>
        <w:spacing w:after="60" w:line="276" w:lineRule="auto"/>
        <w:rPr>
          <w:b/>
        </w:rPr>
      </w:pPr>
      <w:r>
        <w:rPr>
          <w:b/>
        </w:rPr>
        <w:t xml:space="preserve">ΕΙΔΟΣ ΕΡΓΟΥ ΚΑΙ ΧΡΗΣΗ: </w:t>
      </w:r>
    </w:p>
    <w:p w14:paraId="38C932C0" w14:textId="77777777" w:rsidR="00453714" w:rsidRDefault="00AD5C8C">
      <w:pPr>
        <w:spacing w:after="60" w:line="276" w:lineRule="auto"/>
        <w:jc w:val="both"/>
      </w:pPr>
      <w:r>
        <w:rPr>
          <w:b/>
        </w:rPr>
        <w:t>Είδος έργου:</w:t>
      </w:r>
      <w:r>
        <w:t xml:space="preserve"> Επισκευή, συντήρηση σχολικών κτιρίων &amp; αύλειων χώρων και λοιπές δράσεις.</w:t>
      </w:r>
    </w:p>
    <w:p w14:paraId="19ACCDF0" w14:textId="77777777" w:rsidR="00453714" w:rsidRDefault="00AD5C8C">
      <w:pPr>
        <w:pStyle w:val="a8"/>
        <w:spacing w:before="146"/>
        <w:ind w:left="0" w:firstLine="0"/>
      </w:pPr>
      <w:r>
        <w:rPr>
          <w:b/>
        </w:rPr>
        <w:t>Σύντομη</w:t>
      </w:r>
      <w:r>
        <w:rPr>
          <w:b/>
          <w:spacing w:val="-5"/>
        </w:rPr>
        <w:t xml:space="preserve"> </w:t>
      </w:r>
      <w:r>
        <w:rPr>
          <w:b/>
        </w:rPr>
        <w:t>περιγραφή</w:t>
      </w:r>
      <w:r>
        <w:rPr>
          <w:b/>
          <w:spacing w:val="-4"/>
        </w:rPr>
        <w:t xml:space="preserve"> </w:t>
      </w:r>
      <w:r>
        <w:rPr>
          <w:b/>
        </w:rPr>
        <w:t>του</w:t>
      </w:r>
      <w:r>
        <w:rPr>
          <w:b/>
          <w:spacing w:val="-4"/>
        </w:rPr>
        <w:t xml:space="preserve"> </w:t>
      </w:r>
      <w:r>
        <w:rPr>
          <w:b/>
        </w:rPr>
        <w:t>έργου</w:t>
      </w:r>
      <w:r>
        <w:rPr>
          <w:b/>
          <w:spacing w:val="-4"/>
        </w:rPr>
        <w:t xml:space="preserve"> </w:t>
      </w:r>
      <w:r>
        <w:rPr>
          <w:b/>
        </w:rPr>
        <w:t>:</w:t>
      </w:r>
    </w:p>
    <w:p w14:paraId="15653008" w14:textId="5E021DE3" w:rsidR="00453714" w:rsidRDefault="00AD5C8C" w:rsidP="00AF60A8">
      <w:pPr>
        <w:spacing w:after="120"/>
        <w:ind w:left="283"/>
        <w:jc w:val="both"/>
      </w:pPr>
      <w:r>
        <w:t xml:space="preserve">Η παρούσα μελέτη συντάχθηκε από </w:t>
      </w:r>
      <w:r w:rsidR="00FE70C8" w:rsidRPr="00FE70C8">
        <w:t>την Διεύθυνση Τεχνικών Έργων του Αναπτυξιακού Οργανισμού Τοπικής Αυτοδιοίκησης «Νέα Μητροπολιτική Αττική Α.Ε.»</w:t>
      </w:r>
      <w:r>
        <w:t xml:space="preserve">, και το αντικείμενο της παρούσας εργολαβίας είναι κυρίως η συντήρηση, η επισκευή και η αποκατάσταση των κτηριακών εγκαταστάσεων των έξι βρεφονηπιακών και παιδικών σταθμών του Δήμου Μοσχάτου – Ταύρου. Πρόκειται για εντοπισμένες επεμβάσεις συντήρησης και επισκευής και οι εργασίες που προβλέπεται να εκτελεστούν για την ολοκληρωμένη και δημιουργική παρέμβαση και αναβάθμιση των χώρων είναι η καθαίρεση μεμονωμένων στοιχείων από οπλισμένο και άοπλο σκυρόδεμα όπου απαιτείται, καθαίρεση πλακοστρώσεων δαπέδων </w:t>
      </w:r>
      <w:r>
        <w:lastRenderedPageBreak/>
        <w:t>παντός τύπου και επιχρισμάτων, καθαίρεση μεταλλικών κατασκευών, αποξήλωση ξύλινων ή σίδηρών κουφωμάτων, είδη υγιεινής, και στη συνέχεια η αποκατάσταση των επιχρισμάτων (εσωτερικών και εξωτερικών χωρών), χρωματισμός εσωτερικών και εξωτερικών επιφανειών, η επίστρωση δαπέδων με υλικά αντιολισθηρά για την ασφάλεια των νηπίων – βρεφών και των εργαζομένων στο χώρο, η προμήθεια και η εγκατάσταση νέων κουφωμάτων, είδη υγιεινής, ηλεκτρικών συσκευών, ηλεκτρικού θερμοσίφωνα, σύστημα ψύξης – θέρμανσης, προμήθεια οργάνων παιδικών χαρών και την εναρμόνιση τους με τις απαιτήσεις της σειράς προτύπων κατά ΕΛΟΤ ΕΝ71. Η προμήθεια και επίπλωση των εσωτερικών χωρών και του εξοπλισμού για την επάνδρωση των χώρων προετοιμασίας και σερβιρίσματος γευμάτων, η αποκατάσταση των υδραυλικών και των ηλεκτρομηχανολικών εγκαταστάσεων και μόνωσης των κτηριακών εγκαταστάσεων και τέλος η διαμόρφωση των εσωτερικών χώρων σύμφωνα με τα άρθρα 3 και  4 του Π.Δ. 99/2017 και των υπαίθριων χωρών σύμφωνα με όσα ορίζονται στην πρόσκληση.</w:t>
      </w:r>
    </w:p>
    <w:p w14:paraId="65F04D17" w14:textId="77777777" w:rsidR="00453714" w:rsidRDefault="00453714">
      <w:pPr>
        <w:spacing w:after="60" w:line="276" w:lineRule="auto"/>
        <w:rPr>
          <w:b/>
        </w:rPr>
      </w:pPr>
    </w:p>
    <w:p w14:paraId="4ECA4F4F" w14:textId="77777777" w:rsidR="00453714" w:rsidRDefault="00AD5C8C">
      <w:pPr>
        <w:spacing w:after="60" w:line="276" w:lineRule="auto"/>
        <w:rPr>
          <w:b/>
        </w:rPr>
      </w:pPr>
      <w:r>
        <w:rPr>
          <w:b/>
        </w:rPr>
        <w:t xml:space="preserve">ΠΕΡΙΟΧΗ ΕΡΓΟΥ:  </w:t>
      </w:r>
    </w:p>
    <w:p w14:paraId="42516F61" w14:textId="77777777" w:rsidR="00453714" w:rsidRDefault="00AD5C8C">
      <w:pPr>
        <w:spacing w:after="60" w:line="276" w:lineRule="auto"/>
        <w:jc w:val="both"/>
        <w:rPr>
          <w:rFonts w:ascii="Cambria" w:hAnsi="Cambria"/>
        </w:rPr>
      </w:pPr>
      <w:r>
        <w:rPr>
          <w:rFonts w:ascii="Cambria" w:hAnsi="Cambria"/>
        </w:rPr>
        <w:t xml:space="preserve">Α΄ Βρεφονηπιακός Σταθμός Κ. Μοσχάτου ( Πίνδου 43), </w:t>
      </w:r>
    </w:p>
    <w:p w14:paraId="492AA25F" w14:textId="77777777" w:rsidR="00453714" w:rsidRDefault="00AD5C8C">
      <w:pPr>
        <w:spacing w:after="60" w:line="276" w:lineRule="auto"/>
        <w:jc w:val="both"/>
        <w:rPr>
          <w:rFonts w:ascii="Cambria" w:hAnsi="Cambria"/>
        </w:rPr>
      </w:pPr>
      <w:r>
        <w:rPr>
          <w:rFonts w:ascii="Cambria" w:hAnsi="Cambria"/>
        </w:rPr>
        <w:t>Β΄ Βρεφονηπιακού Σταθμού Κ. Μοσχάτου (Κοραή 2),</w:t>
      </w:r>
    </w:p>
    <w:p w14:paraId="03A3F0F4" w14:textId="77777777" w:rsidR="00453714" w:rsidRDefault="00AD5C8C">
      <w:pPr>
        <w:spacing w:after="60" w:line="276" w:lineRule="auto"/>
        <w:jc w:val="both"/>
        <w:rPr>
          <w:rFonts w:ascii="Cambria" w:hAnsi="Cambria"/>
        </w:rPr>
      </w:pPr>
      <w:r>
        <w:rPr>
          <w:rFonts w:ascii="Cambria" w:hAnsi="Cambria"/>
        </w:rPr>
        <w:t>Γ΄ Παιδικού Σταθμού Κ. Μοσχάτου (Πίνδου 36 &amp; Ιεροθέου),</w:t>
      </w:r>
    </w:p>
    <w:p w14:paraId="435F7D55" w14:textId="77777777" w:rsidR="00453714" w:rsidRDefault="00AD5C8C">
      <w:pPr>
        <w:spacing w:after="60" w:line="276" w:lineRule="auto"/>
        <w:jc w:val="both"/>
        <w:rPr>
          <w:rFonts w:ascii="Cambria" w:hAnsi="Cambria"/>
        </w:rPr>
      </w:pPr>
      <w:r>
        <w:rPr>
          <w:rFonts w:ascii="Cambria" w:hAnsi="Cambria"/>
        </w:rPr>
        <w:t xml:space="preserve">Δ΄ Βρεφονηπιακού Σταθμού Κ. Μοσχάτου (Αρχιπ. Σπυρόπουλου 6), </w:t>
      </w:r>
    </w:p>
    <w:p w14:paraId="415804AA" w14:textId="77777777" w:rsidR="00453714" w:rsidRDefault="00AD5C8C">
      <w:pPr>
        <w:spacing w:after="60" w:line="276" w:lineRule="auto"/>
        <w:jc w:val="both"/>
        <w:rPr>
          <w:rFonts w:ascii="Cambria" w:hAnsi="Cambria"/>
        </w:rPr>
      </w:pPr>
      <w:r>
        <w:rPr>
          <w:rFonts w:ascii="Cambria" w:hAnsi="Cambria"/>
        </w:rPr>
        <w:t xml:space="preserve">Α΄ Παιδικού Σταθμού Κ. Ταύρου ( Μυρακτής 1 &amp; Παναγούλη), </w:t>
      </w:r>
    </w:p>
    <w:p w14:paraId="68B7BEFA" w14:textId="77777777" w:rsidR="00453714" w:rsidRDefault="00AD5C8C">
      <w:pPr>
        <w:spacing w:after="60" w:line="276" w:lineRule="auto"/>
        <w:jc w:val="both"/>
        <w:rPr>
          <w:rFonts w:ascii="Cambria" w:hAnsi="Cambria"/>
        </w:rPr>
      </w:pPr>
      <w:r>
        <w:rPr>
          <w:rFonts w:ascii="Cambria" w:hAnsi="Cambria"/>
        </w:rPr>
        <w:t>και Β’ Βρεφονηπιακού Σταθμού Κ. Ταύρου (Ανδρούτσου &amp; Κορυζή).</w:t>
      </w:r>
    </w:p>
    <w:p w14:paraId="6C267920" w14:textId="77777777" w:rsidR="00453714" w:rsidRDefault="00453714">
      <w:pPr>
        <w:spacing w:after="60" w:line="276" w:lineRule="auto"/>
        <w:rPr>
          <w:b/>
        </w:rPr>
      </w:pPr>
    </w:p>
    <w:p w14:paraId="1B01A794" w14:textId="77777777" w:rsidR="00453714" w:rsidRDefault="00AD5C8C">
      <w:pPr>
        <w:spacing w:after="60" w:line="276" w:lineRule="auto"/>
        <w:rPr>
          <w:b/>
        </w:rPr>
      </w:pPr>
      <w:r>
        <w:rPr>
          <w:b/>
        </w:rPr>
        <w:t xml:space="preserve">ΠΡΟΣΒΑΣΗ ΣΤΟ ΕΡΓΟ:  </w:t>
      </w:r>
    </w:p>
    <w:p w14:paraId="2986A26C" w14:textId="77777777" w:rsidR="00453714" w:rsidRDefault="00AD5C8C">
      <w:pPr>
        <w:spacing w:after="60" w:line="276" w:lineRule="auto"/>
        <w:jc w:val="both"/>
      </w:pPr>
      <w:r>
        <w:t xml:space="preserve">Η προσπέλαση στο έργο είναι άμεση από τις εισόδους των σχολίων. Η διέλευση και παραμονή ατόμων στο χώρο των εργασιών απαγορεύεται, εκτός από το εξουσιοδοτημένο για την κατασκευή προσωπικού του έργου. Ο εξοπλισμός του έργου είναι κινητός και θα εγκαθίσταται κάθε φορά στον προσφορότερο ανάλογα με τις ανάγκες χώρο. </w:t>
      </w:r>
    </w:p>
    <w:p w14:paraId="2D11D1EB" w14:textId="77777777" w:rsidR="00453714" w:rsidRDefault="00453714">
      <w:pPr>
        <w:spacing w:after="60" w:line="276" w:lineRule="auto"/>
        <w:rPr>
          <w:b/>
        </w:rPr>
      </w:pPr>
    </w:p>
    <w:p w14:paraId="1FAEDF31" w14:textId="77777777" w:rsidR="00453714" w:rsidRDefault="00AD5C8C">
      <w:pPr>
        <w:spacing w:after="60" w:line="276" w:lineRule="auto"/>
      </w:pPr>
      <w:r>
        <w:rPr>
          <w:b/>
        </w:rPr>
        <w:t xml:space="preserve">ΑΡΙΘΜΟΣ ΑΔΕΙΑΣ:  </w:t>
      </w:r>
      <w:r>
        <w:t>..../2022</w:t>
      </w:r>
    </w:p>
    <w:p w14:paraId="12B524D5" w14:textId="77777777" w:rsidR="00453714" w:rsidRDefault="00453714">
      <w:pPr>
        <w:spacing w:after="60" w:line="276" w:lineRule="auto"/>
        <w:rPr>
          <w:b/>
        </w:rPr>
      </w:pPr>
    </w:p>
    <w:p w14:paraId="4A52C48A" w14:textId="77777777" w:rsidR="00453714" w:rsidRDefault="00AD5C8C">
      <w:pPr>
        <w:spacing w:after="60" w:line="276" w:lineRule="auto"/>
        <w:rPr>
          <w:b/>
        </w:rPr>
      </w:pPr>
      <w:r>
        <w:rPr>
          <w:b/>
        </w:rPr>
        <w:t xml:space="preserve">ΚΥΡΙΟΣ ΤΟΥ ΕΡΓΟΥ:  </w:t>
      </w:r>
    </w:p>
    <w:p w14:paraId="644AAEB5" w14:textId="38C75AEF" w:rsidR="00453714" w:rsidRDefault="00AD5C8C">
      <w:pPr>
        <w:spacing w:after="60" w:line="276" w:lineRule="auto"/>
        <w:jc w:val="both"/>
      </w:pPr>
      <w:r>
        <w:t>Δήμος Μοσχάτου - Ταύρου</w:t>
      </w:r>
    </w:p>
    <w:p w14:paraId="201D4806" w14:textId="77777777" w:rsidR="00453714" w:rsidRDefault="00453714">
      <w:pPr>
        <w:spacing w:after="60" w:line="276" w:lineRule="auto"/>
        <w:rPr>
          <w:b/>
        </w:rPr>
      </w:pPr>
    </w:p>
    <w:p w14:paraId="1E60C1BC" w14:textId="77777777" w:rsidR="00453714" w:rsidRDefault="00AD5C8C">
      <w:pPr>
        <w:spacing w:after="60" w:line="276" w:lineRule="auto"/>
        <w:jc w:val="both"/>
        <w:rPr>
          <w:b/>
        </w:rPr>
      </w:pPr>
      <w:r>
        <w:rPr>
          <w:b/>
        </w:rPr>
        <w:t>ΣΤΟΙΧΕΙΑ ΤΟΥ ΥΠΟΧΡΕΟΥ ΓΙΑ ΤΗΝ ΕΚΠΟΝΗΣΗ ΤΟΥ ΣΑΥ:</w:t>
      </w:r>
    </w:p>
    <w:p w14:paraId="52F84EBA" w14:textId="77777777" w:rsidR="00FE70C8" w:rsidRDefault="00FE70C8" w:rsidP="00FE70C8">
      <w:pPr>
        <w:spacing w:after="60" w:line="276" w:lineRule="auto"/>
        <w:jc w:val="both"/>
      </w:pPr>
      <w:r>
        <w:t>Αναπτυξιακός Οργανισμός Τοπικής Αυτοδιοίκησης «Νέα Μητροπολιτική Αττική Α.Ε.»</w:t>
      </w:r>
    </w:p>
    <w:p w14:paraId="51640BAC" w14:textId="77777777" w:rsidR="00453714" w:rsidRDefault="00453714">
      <w:pPr>
        <w:rPr>
          <w:b/>
        </w:rPr>
      </w:pPr>
    </w:p>
    <w:p w14:paraId="06209417" w14:textId="77777777" w:rsidR="00453714" w:rsidRDefault="00AD5C8C">
      <w:r>
        <w:rPr>
          <w:b/>
        </w:rPr>
        <w:t xml:space="preserve">ΣΗΜΕΙΩΣΗ: </w:t>
      </w:r>
      <w:r>
        <w:t>Σε περίπτωση που ακολουθήσουν τροποποιήσεις της μελέτης κατά τη διάρκεια των εργασιών, ο Συντονιστής Ασφάλειας κατά την εκτέλεση του έργου οφείλει να ενημερώσει την παρούσα σύντομη τεχνική περιγραφή, ώστε να ανταποκρίνεται στα πραγματικά δεδομένα.</w:t>
      </w:r>
    </w:p>
    <w:p w14:paraId="2ADDE3B0" w14:textId="77777777" w:rsidR="00453714" w:rsidRDefault="00453714"/>
    <w:p w14:paraId="1D74ACA8" w14:textId="77777777" w:rsidR="00453714" w:rsidRDefault="00AD5C8C">
      <w:pPr>
        <w:pStyle w:val="1"/>
        <w:numPr>
          <w:ilvl w:val="0"/>
          <w:numId w:val="1"/>
        </w:numPr>
        <w:spacing w:before="720"/>
        <w:ind w:left="357" w:hanging="357"/>
        <w:jc w:val="both"/>
      </w:pPr>
      <w:bookmarkStart w:id="7" w:name="_Toc262077"/>
      <w:bookmarkStart w:id="8" w:name="_Toc259693"/>
      <w:r>
        <w:lastRenderedPageBreak/>
        <w:t>ΚΑΝΟΝΙΣΜΟΙ</w:t>
      </w:r>
      <w:bookmarkEnd w:id="7"/>
      <w:bookmarkEnd w:id="8"/>
    </w:p>
    <w:p w14:paraId="20107B14" w14:textId="77777777" w:rsidR="00453714" w:rsidRDefault="00AD5C8C">
      <w:r>
        <w:t>Οι Κανονισμοί με βάση του οποίους συντάχθηκε η μελέτη αναφέρονται παρακάτω στο παράρτημα 3.</w:t>
      </w:r>
    </w:p>
    <w:p w14:paraId="334E8422" w14:textId="77777777" w:rsidR="00453714" w:rsidRDefault="00453714"/>
    <w:p w14:paraId="662FEC55" w14:textId="77777777" w:rsidR="00453714" w:rsidRDefault="00AD5C8C">
      <w:r>
        <w:rPr>
          <w:b/>
        </w:rPr>
        <w:t xml:space="preserve">ΣΗΜΕΙΩΣΗ: </w:t>
      </w:r>
      <w:r>
        <w:t>Σε περίπτωση τροποποιήσεων της μελέτης ο κατάλογος των Κανονισμών πρέπει να ενημερώνεται, ώστε να ανταποκρίνεται στα πραγματικά δεδομένα.</w:t>
      </w:r>
    </w:p>
    <w:p w14:paraId="578A6CDE" w14:textId="77777777" w:rsidR="00453714" w:rsidRDefault="00AD5C8C">
      <w:pPr>
        <w:pStyle w:val="1"/>
        <w:numPr>
          <w:ilvl w:val="0"/>
          <w:numId w:val="1"/>
        </w:numPr>
        <w:spacing w:before="480"/>
        <w:ind w:left="357" w:hanging="357"/>
        <w:jc w:val="both"/>
      </w:pPr>
      <w:bookmarkStart w:id="9" w:name="_Toc262078"/>
      <w:bookmarkStart w:id="10" w:name="_Toc259694"/>
      <w:r>
        <w:t>ΠΑΡΑΔΟΧΕΣ</w:t>
      </w:r>
      <w:bookmarkEnd w:id="9"/>
      <w:bookmarkEnd w:id="10"/>
    </w:p>
    <w:p w14:paraId="747F6161" w14:textId="77777777" w:rsidR="00453714" w:rsidRDefault="00AD5C8C">
      <w:r>
        <w:t>Οι παραδοχές που ακολουθούν προέρχονται από τη μελέτη. Οι παραδοχές δεν υποκαθιστούν και δεν υπερισχύουν των αντίστοιχων της μελέτης.</w:t>
      </w:r>
    </w:p>
    <w:p w14:paraId="55C7B32F" w14:textId="77777777" w:rsidR="00453714" w:rsidRDefault="00453714"/>
    <w:p w14:paraId="6931F01B" w14:textId="77777777" w:rsidR="00453714" w:rsidRDefault="00453714"/>
    <w:p w14:paraId="3BD53A70" w14:textId="77777777" w:rsidR="00453714" w:rsidRDefault="00AD5C8C">
      <w:r>
        <w:rPr>
          <w:b/>
        </w:rPr>
        <w:t xml:space="preserve">ΣΗΜΕΙΩΣΗ: </w:t>
      </w:r>
      <w:r>
        <w:t>Σε περίπτωση τροποποιήσεων της μελέτης, ο κατάλογος των παραδοχών πρέπει να ενημερώνεται, ώστε να ανταποκρίνονται στα πραγματικά δεδομένα.</w:t>
      </w:r>
    </w:p>
    <w:p w14:paraId="7E2FB379" w14:textId="77777777" w:rsidR="00453714" w:rsidRDefault="00AD5C8C">
      <w:pPr>
        <w:pStyle w:val="1"/>
        <w:numPr>
          <w:ilvl w:val="0"/>
          <w:numId w:val="1"/>
        </w:numPr>
        <w:spacing w:before="480"/>
        <w:ind w:left="357" w:hanging="357"/>
        <w:jc w:val="both"/>
      </w:pPr>
      <w:bookmarkStart w:id="11" w:name="_Toc262079"/>
      <w:bookmarkStart w:id="12" w:name="_Toc259695"/>
      <w:r>
        <w:t>ΥΛΙΚΑ</w:t>
      </w:r>
      <w:bookmarkEnd w:id="11"/>
      <w:bookmarkEnd w:id="12"/>
    </w:p>
    <w:p w14:paraId="07053287" w14:textId="77777777" w:rsidR="00453714" w:rsidRDefault="00AD5C8C">
      <w:r>
        <w:t>Τα υλικά που πρόκειται να ενσωματωθούν στο έργο πρέπει να είναι σύμφωνα με τα αναφερόμενα στις Τεχνικές Προδιαγραφές Υλικών.</w:t>
      </w:r>
    </w:p>
    <w:p w14:paraId="6D702B66" w14:textId="77777777" w:rsidR="00453714" w:rsidRDefault="00453714"/>
    <w:p w14:paraId="033DD767" w14:textId="77777777" w:rsidR="00453714" w:rsidRDefault="00AD5C8C">
      <w:pPr>
        <w:ind w:firstLine="357"/>
        <w:jc w:val="both"/>
      </w:pPr>
      <w:r>
        <w:t xml:space="preserve">Τα υλικά που πρόκειται να ενσωματωθούν στο έργο θα είναι εναρμονισμένα με τις εγκριθείσες ΕΤΕΠ (Ελληνικές Τεχνικές Προδιαγραφές), εναρμονισμένα με τα Ευρωπαικά Πρότυπα που έχουν ενταχθεί μέχρι σήμερα στο Εθνικό Κανονιστικό Πλαίσιο βάσει των σχετικών ΚΥΑ, </w:t>
      </w:r>
      <w:r>
        <w:rPr>
          <w:spacing w:val="-59"/>
        </w:rPr>
        <w:t xml:space="preserve"> </w:t>
      </w:r>
      <w:r>
        <w:t>και θα συνοδεύονται με τα πιστοποιητικά ποιότητας που προδιαγράφονται και ζητούνται σε</w:t>
      </w:r>
      <w:r>
        <w:rPr>
          <w:spacing w:val="1"/>
        </w:rPr>
        <w:t xml:space="preserve"> </w:t>
      </w:r>
      <w:r>
        <w:t>κάθε περίπτωση. Τα εργοστάσια κατασκευής των υλικών πρέπει να είναι πιστοποιημένα κατά ΕΝ ISO</w:t>
      </w:r>
      <w:r>
        <w:rPr>
          <w:spacing w:val="1"/>
        </w:rPr>
        <w:t xml:space="preserve"> </w:t>
      </w:r>
      <w:r>
        <w:t>9001: 2015</w:t>
      </w:r>
      <w:r>
        <w:rPr>
          <w:spacing w:val="-3"/>
        </w:rPr>
        <w:t xml:space="preserve"> </w:t>
      </w:r>
      <w:r>
        <w:t>με</w:t>
      </w:r>
      <w:r>
        <w:rPr>
          <w:spacing w:val="-3"/>
        </w:rPr>
        <w:t xml:space="preserve"> </w:t>
      </w:r>
      <w:r>
        <w:t>αντικείμενο</w:t>
      </w:r>
      <w:r>
        <w:rPr>
          <w:spacing w:val="-1"/>
        </w:rPr>
        <w:t xml:space="preserve"> </w:t>
      </w:r>
      <w:r>
        <w:t>εργασιών</w:t>
      </w:r>
      <w:r>
        <w:rPr>
          <w:spacing w:val="-3"/>
        </w:rPr>
        <w:t xml:space="preserve"> </w:t>
      </w:r>
      <w:r>
        <w:t>την</w:t>
      </w:r>
      <w:r>
        <w:rPr>
          <w:spacing w:val="-2"/>
        </w:rPr>
        <w:t xml:space="preserve"> </w:t>
      </w:r>
      <w:r>
        <w:t>παραγωγή</w:t>
      </w:r>
      <w:r>
        <w:rPr>
          <w:spacing w:val="-1"/>
        </w:rPr>
        <w:t xml:space="preserve"> </w:t>
      </w:r>
      <w:r>
        <w:t>τους. Επίσης,</w:t>
      </w:r>
      <w:r>
        <w:rPr>
          <w:spacing w:val="-2"/>
        </w:rPr>
        <w:t xml:space="preserve"> </w:t>
      </w:r>
      <w:r>
        <w:t>θα</w:t>
      </w:r>
      <w:r>
        <w:rPr>
          <w:spacing w:val="-3"/>
        </w:rPr>
        <w:t xml:space="preserve"> </w:t>
      </w:r>
      <w:r>
        <w:t>φέρουν</w:t>
      </w:r>
      <w:r>
        <w:rPr>
          <w:spacing w:val="-3"/>
        </w:rPr>
        <w:t xml:space="preserve"> </w:t>
      </w:r>
      <w:r>
        <w:t>σήμανση CE. Για εργασίες του Τιμολογίου Μελέτης, στις οποίες δεν αναγράφονται οι τεχνικές προδιαγραφές, θα χρησιμοποιηθούν υλικά άριστης ποιότητας εγκεκριμένα από την Επιβλέπουσα Υπηρεσία.</w:t>
      </w:r>
    </w:p>
    <w:p w14:paraId="767D3AE5" w14:textId="77777777" w:rsidR="00453714" w:rsidRDefault="00453714">
      <w:pPr>
        <w:ind w:firstLine="357"/>
        <w:jc w:val="both"/>
      </w:pPr>
    </w:p>
    <w:p w14:paraId="3D49510A" w14:textId="77777777" w:rsidR="00453714" w:rsidRDefault="00AD5C8C">
      <w:r>
        <w:rPr>
          <w:b/>
        </w:rPr>
        <w:t xml:space="preserve">ΣΗΜΕΙΩΣΗ: </w:t>
      </w:r>
      <w:r>
        <w:t>Το παρόν κεφάλαιο του ΦΑΥ πρέπει να ενημερώνεται, σύμφωνα με τις Τεχνικές Προδιαγραφές Υλικών που ενσωματώνονται στο έργο. Ιδιαίτερα χρήσιμη κρίνεται η απευθείας παραπομπή στο Πρόγραμμα Ποιότητας Έργου (ΠΠΕ).</w:t>
      </w:r>
    </w:p>
    <w:p w14:paraId="40B6C220" w14:textId="77777777" w:rsidR="00453714" w:rsidRDefault="00AD5C8C">
      <w:pPr>
        <w:pStyle w:val="1"/>
        <w:numPr>
          <w:ilvl w:val="0"/>
          <w:numId w:val="1"/>
        </w:numPr>
        <w:spacing w:before="480"/>
        <w:ind w:left="357" w:hanging="357"/>
        <w:jc w:val="both"/>
      </w:pPr>
      <w:bookmarkStart w:id="13" w:name="_Toc259696"/>
      <w:bookmarkStart w:id="14" w:name="_Toc262080"/>
      <w:r>
        <w:t>ΧΡΗΣΙΜΕΣ ΕΠΙΣΗΜΑΝΣΕΙΣ</w:t>
      </w:r>
      <w:bookmarkEnd w:id="13"/>
      <w:bookmarkEnd w:id="14"/>
    </w:p>
    <w:p w14:paraId="3E422921" w14:textId="77777777" w:rsidR="00453714" w:rsidRDefault="00AD5C8C">
      <w:r>
        <w:t>Για τις εργασίες συντήρησης καθώς και μελλοντικές επεμβάσεις στο έργο κρίνεται χρήσιμο να ληφθούν υπόψη οι επισημάνσεις που αναφέρονται παρακάτω.</w:t>
      </w:r>
    </w:p>
    <w:p w14:paraId="0B30B939" w14:textId="77777777" w:rsidR="00453714" w:rsidRPr="00AF60A8" w:rsidRDefault="00AD5C8C">
      <w:r>
        <w:t>Πρέπει να λήφθουν υπόψη τα εξής</w:t>
      </w:r>
      <w:r w:rsidRPr="00AF60A8">
        <w:t>:</w:t>
      </w:r>
    </w:p>
    <w:p w14:paraId="673E7833" w14:textId="77777777" w:rsidR="00453714" w:rsidRDefault="00AD5C8C">
      <w:pPr>
        <w:numPr>
          <w:ilvl w:val="0"/>
          <w:numId w:val="5"/>
        </w:numPr>
        <w:jc w:val="both"/>
      </w:pPr>
      <w:r>
        <w:rPr>
          <w:b/>
        </w:rPr>
        <w:t>Θέσεις δικτύων</w:t>
      </w:r>
      <w:r w:rsidRPr="00AF60A8">
        <w:rPr>
          <w:b/>
        </w:rPr>
        <w:t xml:space="preserve">: </w:t>
      </w:r>
      <w:r>
        <w:t>Να γίνονται έλεγχοι επί του κτηρίου, σε διάφορα, σημεία για τον εντοπισμό δικτύων ηλεκτρισμού, ύδρευσης, αποχέτευσης, εξαερισμού, φωτισμού.</w:t>
      </w:r>
    </w:p>
    <w:p w14:paraId="62963B14" w14:textId="77777777" w:rsidR="00453714" w:rsidRDefault="00AD5C8C">
      <w:pPr>
        <w:numPr>
          <w:ilvl w:val="0"/>
          <w:numId w:val="5"/>
        </w:numPr>
        <w:jc w:val="both"/>
      </w:pPr>
      <w:r>
        <w:rPr>
          <w:b/>
        </w:rPr>
        <w:t>Σημεία των κεντρικών διακοπτών</w:t>
      </w:r>
      <w:r w:rsidRPr="00AF60A8">
        <w:rPr>
          <w:b/>
        </w:rPr>
        <w:t>:</w:t>
      </w:r>
      <w:r>
        <w:t xml:space="preserve"> Για τη γενική διακοπή των δικτύων της προηγουμένης παραγράφου 1.</w:t>
      </w:r>
    </w:p>
    <w:p w14:paraId="38656674" w14:textId="77777777" w:rsidR="00453714" w:rsidRDefault="00AD5C8C">
      <w:pPr>
        <w:numPr>
          <w:ilvl w:val="0"/>
          <w:numId w:val="5"/>
        </w:numPr>
        <w:jc w:val="both"/>
      </w:pPr>
      <w:r>
        <w:rPr>
          <w:b/>
        </w:rPr>
        <w:lastRenderedPageBreak/>
        <w:t>Θέσεις υλικών που υπό ορισμένες συνθήκες ενδέχεται να προκαλέσουν κίνδυνο</w:t>
      </w:r>
      <w:r w:rsidRPr="00AF60A8">
        <w:t xml:space="preserve">: </w:t>
      </w:r>
      <w:r>
        <w:t>Θα πρέπει να απομακρύνονται με ιδιαίτερη επιμέλεια προς αποφυγή φθορών και καταστροφών τα προιόντα καθαιρέσεων και αποξηλώσεων.</w:t>
      </w:r>
    </w:p>
    <w:p w14:paraId="2518311B" w14:textId="77777777" w:rsidR="00453714" w:rsidRDefault="00453714">
      <w:pPr>
        <w:jc w:val="both"/>
      </w:pPr>
    </w:p>
    <w:p w14:paraId="2C209ECB" w14:textId="77777777" w:rsidR="00453714" w:rsidRDefault="00AD5C8C">
      <w:r>
        <w:rPr>
          <w:b/>
        </w:rPr>
        <w:t xml:space="preserve">ΣΗΜΕΙΩΣΗ: </w:t>
      </w:r>
      <w:r>
        <w:t>Σε περίπτωση τροποποιήσεων της μελέτης, οι παρακάτω επισημάνσεις πρέπει να ενημερώνονται, ώστε να ανταποκρίνονται στα πραγματικά δεδομένα.</w:t>
      </w:r>
    </w:p>
    <w:p w14:paraId="7A789E3F" w14:textId="77777777" w:rsidR="00453714" w:rsidRDefault="00AD5C8C">
      <w:pPr>
        <w:pStyle w:val="1"/>
        <w:numPr>
          <w:ilvl w:val="0"/>
          <w:numId w:val="1"/>
        </w:numPr>
        <w:spacing w:before="720"/>
        <w:ind w:left="357" w:hanging="357"/>
      </w:pPr>
      <w:bookmarkStart w:id="15" w:name="_Toc262081"/>
      <w:bookmarkStart w:id="16" w:name="_Toc259697"/>
      <w:r>
        <w:t>ΟΔΗΓΙΕΣ ΑΣΦΑΛΟΥΣ ΕΡΓΑΣΙΑΣ</w:t>
      </w:r>
      <w:bookmarkEnd w:id="15"/>
      <w:bookmarkEnd w:id="16"/>
    </w:p>
    <w:p w14:paraId="005BC230" w14:textId="77777777" w:rsidR="00453714" w:rsidRDefault="00AD5C8C">
      <w:r>
        <w:t>Σε ειδικό παράρτημα στο τέλος αυτού του τεύχους παρατίθενται οι Οδηγίες Ασφαλούς Εργασίας σε πινακοποιημένη μορφή για εύκολη ανάγνωση και αναζήτηση. Οι οδηγίες αφορούν στις εργασίες συντήρησης, καθαρισμού, μετατροπής,  που αναμένονται, κατά τη διάρκεια ζωής του έργου.</w:t>
      </w:r>
    </w:p>
    <w:p w14:paraId="5B35631C" w14:textId="77777777" w:rsidR="00453714" w:rsidRDefault="00AD5C8C">
      <w:r>
        <w:t>Κάθε Οδηγία Ασφαλούς Εργασίας περιέχει:</w:t>
      </w:r>
    </w:p>
    <w:p w14:paraId="2A280171" w14:textId="77777777" w:rsidR="00453714" w:rsidRDefault="00AD5C8C">
      <w:pPr>
        <w:pStyle w:val="a7"/>
        <w:numPr>
          <w:ilvl w:val="0"/>
          <w:numId w:val="3"/>
        </w:numPr>
      </w:pPr>
      <w:r>
        <w:t>Περιγραφή των προτεινόμενων μέτρων προστασίας για την αντιμετώπιση των κινδύνων</w:t>
      </w:r>
    </w:p>
    <w:p w14:paraId="5BCC0CDD" w14:textId="77777777" w:rsidR="00453714" w:rsidRDefault="00AD5C8C">
      <w:pPr>
        <w:pStyle w:val="a7"/>
        <w:numPr>
          <w:ilvl w:val="0"/>
          <w:numId w:val="3"/>
        </w:numPr>
      </w:pPr>
      <w:r>
        <w:t xml:space="preserve">Αναφορά των απαραίτητων Μέσων Ατομικής Προστασίας που πρέπει να χρησιμοποιούνται από το προσωπικό </w:t>
      </w:r>
    </w:p>
    <w:p w14:paraId="3E1658B2" w14:textId="77777777" w:rsidR="00453714" w:rsidRDefault="00453714"/>
    <w:p w14:paraId="54A4BBD4" w14:textId="23034606" w:rsidR="00A0406C" w:rsidRDefault="00AD5C8C">
      <w:r>
        <w:rPr>
          <w:b/>
        </w:rPr>
        <w:t xml:space="preserve">ΣΗΜΕΙΩΣΗ: </w:t>
      </w:r>
      <w:r>
        <w:t xml:space="preserve">Ο Τεχνικός Ασφάλειας του συνεργείου που θα εκτελέσει τις συγκεκριμένες εργασίες οφείλει να συντάξει Εκτίμηση Επαγγελματικού Κινδύνου και να την υποβάλλει στον εργοδότη του. Ο επικεφαλής του συνεργείου πρέπει να λάβει υπόψη του τα περιεχόμενα τόσο της Οδηγίας Ασφαλούς Εργασίας όσο και της Εκτίμησης Επαγγελματικού Κινδύνου. </w:t>
      </w:r>
    </w:p>
    <w:p w14:paraId="30C73B6E" w14:textId="663FBE34" w:rsidR="00A0406C" w:rsidRDefault="00A0406C"/>
    <w:p w14:paraId="3670C987" w14:textId="77777777" w:rsidR="00A0406C" w:rsidRDefault="00A0406C"/>
    <w:p w14:paraId="3C1F7554" w14:textId="443D1810" w:rsidR="00453714" w:rsidRDefault="00453714"/>
    <w:p w14:paraId="76D0FBFF" w14:textId="77777777" w:rsidR="009612DA" w:rsidRDefault="009612DA"/>
    <w:tbl>
      <w:tblPr>
        <w:tblStyle w:val="ae"/>
        <w:tblW w:w="8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2"/>
        <w:gridCol w:w="4208"/>
      </w:tblGrid>
      <w:tr w:rsidR="009612DA" w:rsidRPr="0091264E" w14:paraId="3E1BB4C0" w14:textId="77777777" w:rsidTr="009612DA">
        <w:trPr>
          <w:trHeight w:val="684"/>
        </w:trPr>
        <w:tc>
          <w:tcPr>
            <w:tcW w:w="3972" w:type="dxa"/>
          </w:tcPr>
          <w:p w14:paraId="1B846BD0" w14:textId="0E3A24ED" w:rsidR="009612DA" w:rsidRPr="004C1264" w:rsidRDefault="009612DA" w:rsidP="00923CD7">
            <w:pPr>
              <w:pStyle w:val="a4"/>
              <w:jc w:val="center"/>
              <w:rPr>
                <w:b/>
                <w:bCs/>
                <w:sz w:val="22"/>
                <w:lang w:val="el-GR"/>
              </w:rPr>
            </w:pPr>
            <w:r w:rsidRPr="004C1264">
              <w:rPr>
                <w:b/>
                <w:bCs/>
                <w:sz w:val="22"/>
                <w:lang w:val="el-GR"/>
              </w:rPr>
              <w:t xml:space="preserve">Αθήνα, </w:t>
            </w:r>
            <w:r w:rsidR="00F77599">
              <w:rPr>
                <w:b/>
                <w:bCs/>
                <w:sz w:val="22"/>
                <w:lang w:val="el-GR"/>
              </w:rPr>
              <w:t>06</w:t>
            </w:r>
            <w:r w:rsidRPr="004C1264">
              <w:rPr>
                <w:b/>
                <w:bCs/>
                <w:sz w:val="22"/>
                <w:lang w:val="el-GR"/>
              </w:rPr>
              <w:t>/0</w:t>
            </w:r>
            <w:r w:rsidR="00F77599">
              <w:rPr>
                <w:b/>
                <w:bCs/>
                <w:sz w:val="22"/>
                <w:lang w:val="el-GR"/>
              </w:rPr>
              <w:t>6</w:t>
            </w:r>
            <w:r w:rsidRPr="004C1264">
              <w:rPr>
                <w:b/>
                <w:bCs/>
                <w:sz w:val="22"/>
                <w:lang w:val="el-GR"/>
              </w:rPr>
              <w:t>/2022</w:t>
            </w:r>
          </w:p>
          <w:p w14:paraId="4228BCD7" w14:textId="77777777" w:rsidR="009612DA" w:rsidRPr="004C1264" w:rsidRDefault="009612DA" w:rsidP="00923CD7">
            <w:pPr>
              <w:pStyle w:val="a4"/>
              <w:jc w:val="center"/>
              <w:rPr>
                <w:b/>
                <w:bCs/>
                <w:sz w:val="22"/>
                <w:lang w:val="el-GR"/>
              </w:rPr>
            </w:pPr>
          </w:p>
          <w:p w14:paraId="2FE15960" w14:textId="77777777" w:rsidR="009612DA" w:rsidRPr="004C1264" w:rsidRDefault="009612DA" w:rsidP="00923CD7">
            <w:pPr>
              <w:pStyle w:val="a4"/>
              <w:jc w:val="center"/>
              <w:rPr>
                <w:b/>
                <w:bCs/>
                <w:sz w:val="22"/>
                <w:lang w:val="el-GR"/>
              </w:rPr>
            </w:pPr>
            <w:r w:rsidRPr="004C1264">
              <w:rPr>
                <w:b/>
                <w:bCs/>
                <w:sz w:val="22"/>
                <w:lang w:val="el-GR"/>
              </w:rPr>
              <w:t>Συντάχθηκε</w:t>
            </w:r>
          </w:p>
          <w:p w14:paraId="732E8679" w14:textId="77777777" w:rsidR="009612DA" w:rsidRPr="0091264E" w:rsidRDefault="009612DA" w:rsidP="00923CD7">
            <w:pPr>
              <w:pStyle w:val="a4"/>
              <w:jc w:val="center"/>
              <w:rPr>
                <w:sz w:val="22"/>
                <w:lang w:val="el-GR"/>
              </w:rPr>
            </w:pPr>
          </w:p>
        </w:tc>
        <w:tc>
          <w:tcPr>
            <w:tcW w:w="4208" w:type="dxa"/>
          </w:tcPr>
          <w:p w14:paraId="5AE9BE8D" w14:textId="3F8599A4" w:rsidR="009612DA" w:rsidRPr="004C1264" w:rsidRDefault="009612DA" w:rsidP="00923CD7">
            <w:pPr>
              <w:pStyle w:val="a4"/>
              <w:jc w:val="center"/>
              <w:rPr>
                <w:b/>
                <w:bCs/>
                <w:sz w:val="22"/>
                <w:lang w:val="el-GR"/>
              </w:rPr>
            </w:pPr>
            <w:r w:rsidRPr="004C1264">
              <w:rPr>
                <w:b/>
                <w:bCs/>
                <w:sz w:val="22"/>
                <w:lang w:val="el-GR"/>
              </w:rPr>
              <w:t xml:space="preserve">Αθήνα, </w:t>
            </w:r>
            <w:r w:rsidR="00F77599">
              <w:rPr>
                <w:b/>
                <w:bCs/>
                <w:sz w:val="22"/>
                <w:lang w:val="el-GR"/>
              </w:rPr>
              <w:t>06</w:t>
            </w:r>
            <w:r w:rsidRPr="004C1264">
              <w:rPr>
                <w:b/>
                <w:bCs/>
                <w:sz w:val="22"/>
                <w:lang w:val="el-GR"/>
              </w:rPr>
              <w:t>/0</w:t>
            </w:r>
            <w:r w:rsidR="00F77599">
              <w:rPr>
                <w:b/>
                <w:bCs/>
                <w:sz w:val="22"/>
                <w:lang w:val="el-GR"/>
              </w:rPr>
              <w:t>6</w:t>
            </w:r>
            <w:r w:rsidRPr="004C1264">
              <w:rPr>
                <w:b/>
                <w:bCs/>
                <w:sz w:val="22"/>
                <w:lang w:val="el-GR"/>
              </w:rPr>
              <w:t>/2022</w:t>
            </w:r>
          </w:p>
          <w:p w14:paraId="544004F5" w14:textId="77777777" w:rsidR="009612DA" w:rsidRPr="004C1264" w:rsidRDefault="009612DA" w:rsidP="00923CD7">
            <w:pPr>
              <w:pStyle w:val="a4"/>
              <w:jc w:val="center"/>
              <w:rPr>
                <w:b/>
                <w:bCs/>
                <w:sz w:val="22"/>
                <w:lang w:val="el-GR"/>
              </w:rPr>
            </w:pPr>
          </w:p>
          <w:p w14:paraId="370B0DC3" w14:textId="77777777" w:rsidR="009612DA" w:rsidRPr="0091264E" w:rsidRDefault="009612DA" w:rsidP="00923CD7">
            <w:pPr>
              <w:pStyle w:val="a4"/>
              <w:jc w:val="center"/>
              <w:rPr>
                <w:sz w:val="22"/>
                <w:lang w:val="el-GR"/>
              </w:rPr>
            </w:pPr>
            <w:r w:rsidRPr="004C1264">
              <w:rPr>
                <w:b/>
                <w:bCs/>
                <w:sz w:val="22"/>
                <w:lang w:val="el-GR"/>
              </w:rPr>
              <w:t>Θεωρήθηκε</w:t>
            </w:r>
          </w:p>
        </w:tc>
      </w:tr>
      <w:tr w:rsidR="009612DA" w:rsidRPr="00E12A99" w14:paraId="5B0A47F3" w14:textId="77777777" w:rsidTr="009612DA">
        <w:trPr>
          <w:trHeight w:val="1330"/>
        </w:trPr>
        <w:tc>
          <w:tcPr>
            <w:tcW w:w="3972" w:type="dxa"/>
          </w:tcPr>
          <w:p w14:paraId="47F20B75" w14:textId="77777777" w:rsidR="009612DA" w:rsidRPr="0091264E" w:rsidRDefault="009612DA" w:rsidP="00923CD7">
            <w:pPr>
              <w:pStyle w:val="a4"/>
              <w:rPr>
                <w:sz w:val="22"/>
                <w:lang w:val="el-GR"/>
              </w:rPr>
            </w:pPr>
          </w:p>
        </w:tc>
        <w:tc>
          <w:tcPr>
            <w:tcW w:w="4208" w:type="dxa"/>
          </w:tcPr>
          <w:p w14:paraId="2BAE5BF3" w14:textId="77777777" w:rsidR="009612DA" w:rsidRPr="0091264E" w:rsidRDefault="009612DA" w:rsidP="00923CD7">
            <w:pPr>
              <w:pStyle w:val="a4"/>
              <w:jc w:val="center"/>
              <w:rPr>
                <w:sz w:val="22"/>
                <w:lang w:val="el-GR"/>
              </w:rPr>
            </w:pPr>
            <w:r>
              <w:rPr>
                <w:sz w:val="22"/>
                <w:lang w:val="el-GR"/>
              </w:rPr>
              <w:t>Ο Δ/ντης Τεχνικών Έργων</w:t>
            </w:r>
          </w:p>
        </w:tc>
      </w:tr>
      <w:tr w:rsidR="009612DA" w:rsidRPr="002D17A6" w14:paraId="33D3FEB8" w14:textId="77777777" w:rsidTr="009612DA">
        <w:trPr>
          <w:trHeight w:val="646"/>
        </w:trPr>
        <w:tc>
          <w:tcPr>
            <w:tcW w:w="3972" w:type="dxa"/>
          </w:tcPr>
          <w:p w14:paraId="34772AD7" w14:textId="77777777" w:rsidR="009612DA" w:rsidRDefault="009612DA" w:rsidP="00923CD7">
            <w:pPr>
              <w:pStyle w:val="a4"/>
              <w:jc w:val="center"/>
              <w:rPr>
                <w:sz w:val="22"/>
                <w:lang w:val="el-GR"/>
              </w:rPr>
            </w:pPr>
            <w:r>
              <w:rPr>
                <w:sz w:val="22"/>
                <w:lang w:val="el-GR"/>
              </w:rPr>
              <w:t>Μαρία Ζερβάκη</w:t>
            </w:r>
          </w:p>
          <w:p w14:paraId="5AB353B8" w14:textId="77777777" w:rsidR="009612DA" w:rsidRPr="0091264E" w:rsidRDefault="009612DA" w:rsidP="00923CD7">
            <w:pPr>
              <w:pStyle w:val="a4"/>
              <w:jc w:val="center"/>
              <w:rPr>
                <w:sz w:val="22"/>
                <w:lang w:val="el-GR"/>
              </w:rPr>
            </w:pPr>
            <w:r>
              <w:rPr>
                <w:sz w:val="22"/>
                <w:lang w:val="el-GR"/>
              </w:rPr>
              <w:t xml:space="preserve">Πολιτικός Μηχανικός </w:t>
            </w:r>
          </w:p>
        </w:tc>
        <w:tc>
          <w:tcPr>
            <w:tcW w:w="4208" w:type="dxa"/>
          </w:tcPr>
          <w:p w14:paraId="2C9F9CFA" w14:textId="77777777" w:rsidR="009612DA" w:rsidRDefault="009612DA" w:rsidP="00923CD7">
            <w:pPr>
              <w:pStyle w:val="a4"/>
              <w:jc w:val="center"/>
              <w:rPr>
                <w:sz w:val="22"/>
                <w:lang w:val="el-GR"/>
              </w:rPr>
            </w:pPr>
            <w:r>
              <w:rPr>
                <w:sz w:val="22"/>
                <w:lang w:val="el-GR"/>
              </w:rPr>
              <w:t xml:space="preserve">Κων/νος Φλώρος </w:t>
            </w:r>
          </w:p>
          <w:p w14:paraId="0255E237" w14:textId="77777777" w:rsidR="009612DA" w:rsidRPr="0091264E" w:rsidRDefault="009612DA" w:rsidP="00923CD7">
            <w:pPr>
              <w:pStyle w:val="a4"/>
              <w:jc w:val="center"/>
              <w:rPr>
                <w:sz w:val="22"/>
                <w:lang w:val="el-GR"/>
              </w:rPr>
            </w:pPr>
            <w:r>
              <w:rPr>
                <w:sz w:val="22"/>
                <w:lang w:val="el-GR"/>
              </w:rPr>
              <w:t>Τοπογράφος Μηχανικός</w:t>
            </w:r>
          </w:p>
        </w:tc>
      </w:tr>
      <w:tr w:rsidR="009612DA" w:rsidRPr="002D17A6" w14:paraId="427912B6" w14:textId="77777777" w:rsidTr="009612DA">
        <w:trPr>
          <w:trHeight w:val="646"/>
        </w:trPr>
        <w:tc>
          <w:tcPr>
            <w:tcW w:w="3972" w:type="dxa"/>
          </w:tcPr>
          <w:p w14:paraId="66DFAF29" w14:textId="77777777" w:rsidR="009612DA" w:rsidRPr="0091264E" w:rsidRDefault="009612DA" w:rsidP="00923CD7">
            <w:pPr>
              <w:pStyle w:val="a4"/>
              <w:jc w:val="center"/>
              <w:rPr>
                <w:sz w:val="22"/>
                <w:lang w:val="el-GR"/>
              </w:rPr>
            </w:pPr>
          </w:p>
        </w:tc>
        <w:tc>
          <w:tcPr>
            <w:tcW w:w="4208" w:type="dxa"/>
          </w:tcPr>
          <w:p w14:paraId="2E4FB254" w14:textId="77777777" w:rsidR="009612DA" w:rsidRDefault="009612DA" w:rsidP="00923CD7">
            <w:pPr>
              <w:pStyle w:val="a4"/>
              <w:jc w:val="center"/>
              <w:rPr>
                <w:sz w:val="22"/>
                <w:lang w:val="el-GR"/>
              </w:rPr>
            </w:pPr>
          </w:p>
        </w:tc>
      </w:tr>
      <w:tr w:rsidR="009612DA" w:rsidRPr="002D17A6" w14:paraId="6BBAE2B1" w14:textId="77777777" w:rsidTr="009612DA">
        <w:trPr>
          <w:trHeight w:val="646"/>
        </w:trPr>
        <w:tc>
          <w:tcPr>
            <w:tcW w:w="3972" w:type="dxa"/>
          </w:tcPr>
          <w:p w14:paraId="39CFB3EC" w14:textId="77777777" w:rsidR="009612DA" w:rsidRPr="0091264E" w:rsidRDefault="009612DA" w:rsidP="00923CD7">
            <w:pPr>
              <w:pStyle w:val="a4"/>
              <w:jc w:val="center"/>
              <w:rPr>
                <w:sz w:val="22"/>
                <w:lang w:val="el-GR"/>
              </w:rPr>
            </w:pPr>
          </w:p>
        </w:tc>
        <w:tc>
          <w:tcPr>
            <w:tcW w:w="4208" w:type="dxa"/>
          </w:tcPr>
          <w:p w14:paraId="70363C79" w14:textId="77777777" w:rsidR="009612DA" w:rsidRDefault="009612DA" w:rsidP="00923CD7">
            <w:pPr>
              <w:pStyle w:val="a4"/>
              <w:jc w:val="center"/>
              <w:rPr>
                <w:sz w:val="22"/>
                <w:lang w:val="el-GR"/>
              </w:rPr>
            </w:pPr>
          </w:p>
        </w:tc>
      </w:tr>
      <w:tr w:rsidR="009612DA" w:rsidRPr="002D17A6" w14:paraId="16A2AF1C" w14:textId="77777777" w:rsidTr="009612DA">
        <w:trPr>
          <w:trHeight w:val="646"/>
        </w:trPr>
        <w:tc>
          <w:tcPr>
            <w:tcW w:w="3972" w:type="dxa"/>
          </w:tcPr>
          <w:p w14:paraId="7B97A080" w14:textId="77777777" w:rsidR="009612DA" w:rsidRPr="0091264E" w:rsidRDefault="009612DA" w:rsidP="00923CD7">
            <w:pPr>
              <w:pStyle w:val="a4"/>
              <w:jc w:val="center"/>
              <w:rPr>
                <w:sz w:val="22"/>
                <w:lang w:val="el-GR"/>
              </w:rPr>
            </w:pPr>
          </w:p>
        </w:tc>
        <w:tc>
          <w:tcPr>
            <w:tcW w:w="4208" w:type="dxa"/>
          </w:tcPr>
          <w:p w14:paraId="02F5469D" w14:textId="77777777" w:rsidR="009612DA" w:rsidRDefault="009612DA" w:rsidP="00923CD7">
            <w:pPr>
              <w:pStyle w:val="a4"/>
              <w:jc w:val="center"/>
              <w:rPr>
                <w:sz w:val="22"/>
                <w:lang w:val="el-GR"/>
              </w:rPr>
            </w:pPr>
          </w:p>
        </w:tc>
      </w:tr>
    </w:tbl>
    <w:p w14:paraId="1DE4FCBF" w14:textId="77777777" w:rsidR="00453714" w:rsidRDefault="00AD5C8C">
      <w:r>
        <w:br w:type="page"/>
      </w:r>
    </w:p>
    <w:p w14:paraId="74C0EE12" w14:textId="77777777" w:rsidR="00453714" w:rsidRDefault="00AD5C8C">
      <w:pPr>
        <w:pStyle w:val="1"/>
        <w:spacing w:before="60"/>
      </w:pPr>
      <w:bookmarkStart w:id="17" w:name="_Toc262082"/>
      <w:bookmarkStart w:id="18" w:name="_Toc259698"/>
      <w:bookmarkStart w:id="19" w:name="_Toc429194463"/>
      <w:r>
        <w:t>ΠΑΡΑΡΤΗΜΑ 1: ΜΕΛΕΤΕΣ ΤΟΥ ΕΡΓΟΥ - ΣΧΕΔΙΑ «AS BUILT»</w:t>
      </w:r>
      <w:bookmarkEnd w:id="17"/>
      <w:bookmarkEnd w:id="18"/>
      <w:r>
        <w:t xml:space="preserve">   </w:t>
      </w:r>
      <w:bookmarkEnd w:id="19"/>
    </w:p>
    <w:p w14:paraId="287A1BB5" w14:textId="77777777" w:rsidR="00453714" w:rsidRDefault="00AD5C8C">
      <w:pPr>
        <w:rPr>
          <w:sz w:val="24"/>
        </w:rPr>
      </w:pPr>
      <w:r>
        <w:t>Ο Συντονιστής Ασφαλείας κατά την εκτέλεση του έργου οφείλει να συμπεριλάβει στο παρόν</w:t>
      </w:r>
      <w:r>
        <w:rPr>
          <w:sz w:val="24"/>
        </w:rPr>
        <w:t xml:space="preserve"> </w:t>
      </w:r>
      <w:r>
        <w:t>κεφάλαιο του ΦΑΥ κατάλογο των μελετών εφαρμογής και των "as built" σχεδίων του έργου.</w:t>
      </w:r>
    </w:p>
    <w:p w14:paraId="6F85A945" w14:textId="77777777" w:rsidR="00453714" w:rsidRDefault="00AD5C8C">
      <w:pPr>
        <w:rPr>
          <w:sz w:val="24"/>
        </w:rPr>
      </w:pPr>
      <w:r>
        <w:t xml:space="preserve">AS BUILT  </w:t>
      </w:r>
    </w:p>
    <w:p w14:paraId="75BBB6F2" w14:textId="77777777" w:rsidR="00453714" w:rsidRDefault="00AD5C8C">
      <w:r>
        <w:t>…………………………</w:t>
      </w:r>
    </w:p>
    <w:p w14:paraId="3D665DEC" w14:textId="77777777" w:rsidR="00453714" w:rsidRDefault="00AD5C8C">
      <w:r>
        <w:t>………………………..</w:t>
      </w:r>
    </w:p>
    <w:p w14:paraId="1B2DF1E4" w14:textId="77777777" w:rsidR="00453714" w:rsidRDefault="00AD5C8C">
      <w:pPr>
        <w:pStyle w:val="1"/>
        <w:spacing w:before="480"/>
      </w:pPr>
      <w:bookmarkStart w:id="20" w:name="_Toc262083"/>
      <w:bookmarkStart w:id="21" w:name="_Toc259699"/>
      <w:r>
        <w:t>ΠΑΡΑΡΤΗΜΑ 2: ΜΗΤΡΩΟ ΕΠΕΜΒΑΣΕΩΝ</w:t>
      </w:r>
      <w:bookmarkEnd w:id="20"/>
      <w:bookmarkEnd w:id="21"/>
    </w:p>
    <w:p w14:paraId="4CA5726C" w14:textId="77777777" w:rsidR="00453714" w:rsidRDefault="00AD5C8C">
      <w:r>
        <w:t>Παρακάτω παρουσιάζεται το μητρώο επεμβάσεων στο έργο. Το μητρώο επεμβάσεων στο έργο πρέπει να ενημερώνεται μετά από κάθε νέα επέμβαση σε αυτό, με τα στοιχεία που θα προκύπτουν κάθε φορά.</w:t>
      </w:r>
    </w:p>
    <w:p w14:paraId="022374BA" w14:textId="77777777" w:rsidR="00453714" w:rsidRDefault="00453714"/>
    <w:tbl>
      <w:tblPr>
        <w:tblStyle w:val="11"/>
        <w:tblW w:w="0" w:type="auto"/>
        <w:tblLayout w:type="fixed"/>
        <w:tblLook w:val="04A0" w:firstRow="1" w:lastRow="0" w:firstColumn="1" w:lastColumn="0" w:noHBand="0" w:noVBand="1"/>
      </w:tblPr>
      <w:tblGrid>
        <w:gridCol w:w="1771"/>
        <w:gridCol w:w="1771"/>
        <w:gridCol w:w="1246"/>
        <w:gridCol w:w="1800"/>
        <w:gridCol w:w="1620"/>
      </w:tblGrid>
      <w:tr w:rsidR="00453714" w14:paraId="23F466D3" w14:textId="77777777">
        <w:tc>
          <w:tcPr>
            <w:tcW w:w="1771" w:type="dxa"/>
            <w:shd w:val="clear" w:color="auto" w:fill="auto"/>
          </w:tcPr>
          <w:p w14:paraId="2541AEBB" w14:textId="77777777" w:rsidR="00453714" w:rsidRDefault="00AD5C8C">
            <w:pPr>
              <w:jc w:val="center"/>
              <w:rPr>
                <w:b/>
                <w:sz w:val="24"/>
              </w:rPr>
            </w:pPr>
            <w:bookmarkStart w:id="22" w:name="_Toc262084"/>
            <w:bookmarkStart w:id="23" w:name="_Toc259700"/>
            <w:bookmarkStart w:id="24" w:name="_Toc452061071"/>
            <w:r>
              <w:rPr>
                <w:b/>
                <w:sz w:val="24"/>
              </w:rPr>
              <w:t>Επέμβαση (Είδος έργου)</w:t>
            </w:r>
          </w:p>
        </w:tc>
        <w:tc>
          <w:tcPr>
            <w:tcW w:w="1771" w:type="dxa"/>
            <w:shd w:val="clear" w:color="auto" w:fill="auto"/>
          </w:tcPr>
          <w:p w14:paraId="63D90763" w14:textId="77777777" w:rsidR="00453714" w:rsidRDefault="00AD5C8C">
            <w:pPr>
              <w:jc w:val="center"/>
              <w:rPr>
                <w:b/>
                <w:sz w:val="24"/>
              </w:rPr>
            </w:pPr>
            <w:r>
              <w:rPr>
                <w:b/>
                <w:sz w:val="24"/>
              </w:rPr>
              <w:t>Ημ/νια έναρξης</w:t>
            </w:r>
          </w:p>
        </w:tc>
        <w:tc>
          <w:tcPr>
            <w:tcW w:w="1246" w:type="dxa"/>
            <w:shd w:val="clear" w:color="auto" w:fill="auto"/>
          </w:tcPr>
          <w:p w14:paraId="17FD4E70" w14:textId="77777777" w:rsidR="00453714" w:rsidRDefault="00AD5C8C">
            <w:pPr>
              <w:jc w:val="center"/>
              <w:rPr>
                <w:b/>
                <w:sz w:val="24"/>
              </w:rPr>
            </w:pPr>
            <w:r>
              <w:rPr>
                <w:b/>
                <w:sz w:val="24"/>
              </w:rPr>
              <w:t>Διάρκεια</w:t>
            </w:r>
          </w:p>
        </w:tc>
        <w:tc>
          <w:tcPr>
            <w:tcW w:w="1800" w:type="dxa"/>
            <w:shd w:val="clear" w:color="auto" w:fill="auto"/>
          </w:tcPr>
          <w:p w14:paraId="6BB6E09F" w14:textId="77777777" w:rsidR="00453714" w:rsidRDefault="00AD5C8C">
            <w:pPr>
              <w:jc w:val="center"/>
              <w:rPr>
                <w:b/>
                <w:sz w:val="24"/>
              </w:rPr>
            </w:pPr>
            <w:r>
              <w:rPr>
                <w:b/>
                <w:sz w:val="24"/>
              </w:rPr>
              <w:t>Στοιχεία που προέκυψαν</w:t>
            </w:r>
          </w:p>
        </w:tc>
        <w:tc>
          <w:tcPr>
            <w:tcW w:w="1620" w:type="dxa"/>
            <w:shd w:val="clear" w:color="auto" w:fill="auto"/>
          </w:tcPr>
          <w:p w14:paraId="61D42DF8" w14:textId="77777777" w:rsidR="00453714" w:rsidRDefault="00AD5C8C">
            <w:pPr>
              <w:jc w:val="center"/>
              <w:rPr>
                <w:b/>
                <w:sz w:val="24"/>
              </w:rPr>
            </w:pPr>
            <w:r>
              <w:rPr>
                <w:b/>
                <w:sz w:val="24"/>
              </w:rPr>
              <w:t>Παραπομπές</w:t>
            </w:r>
          </w:p>
        </w:tc>
      </w:tr>
      <w:tr w:rsidR="00453714" w14:paraId="705CB02D" w14:textId="77777777">
        <w:tc>
          <w:tcPr>
            <w:tcW w:w="1771" w:type="dxa"/>
            <w:shd w:val="clear" w:color="auto" w:fill="auto"/>
          </w:tcPr>
          <w:p w14:paraId="72197D6C" w14:textId="77777777" w:rsidR="00453714" w:rsidRDefault="00453714">
            <w:pPr>
              <w:jc w:val="center"/>
            </w:pPr>
          </w:p>
        </w:tc>
        <w:tc>
          <w:tcPr>
            <w:tcW w:w="1771" w:type="dxa"/>
            <w:shd w:val="clear" w:color="auto" w:fill="auto"/>
          </w:tcPr>
          <w:p w14:paraId="56ED9118" w14:textId="77777777" w:rsidR="00453714" w:rsidRDefault="00453714">
            <w:pPr>
              <w:jc w:val="center"/>
            </w:pPr>
          </w:p>
        </w:tc>
        <w:tc>
          <w:tcPr>
            <w:tcW w:w="1246" w:type="dxa"/>
            <w:shd w:val="clear" w:color="auto" w:fill="auto"/>
          </w:tcPr>
          <w:p w14:paraId="72E41F1B" w14:textId="77777777" w:rsidR="00453714" w:rsidRDefault="00453714">
            <w:pPr>
              <w:jc w:val="center"/>
            </w:pPr>
          </w:p>
        </w:tc>
        <w:tc>
          <w:tcPr>
            <w:tcW w:w="1800" w:type="dxa"/>
            <w:shd w:val="clear" w:color="auto" w:fill="auto"/>
          </w:tcPr>
          <w:p w14:paraId="348A4366" w14:textId="77777777" w:rsidR="00453714" w:rsidRDefault="00453714">
            <w:pPr>
              <w:jc w:val="center"/>
            </w:pPr>
          </w:p>
        </w:tc>
        <w:tc>
          <w:tcPr>
            <w:tcW w:w="1620" w:type="dxa"/>
            <w:shd w:val="clear" w:color="auto" w:fill="auto"/>
          </w:tcPr>
          <w:p w14:paraId="37486BCF" w14:textId="77777777" w:rsidR="00453714" w:rsidRDefault="00453714">
            <w:pPr>
              <w:jc w:val="center"/>
            </w:pPr>
          </w:p>
        </w:tc>
      </w:tr>
      <w:tr w:rsidR="00453714" w14:paraId="471DB204" w14:textId="77777777">
        <w:tc>
          <w:tcPr>
            <w:tcW w:w="1771" w:type="dxa"/>
            <w:shd w:val="clear" w:color="auto" w:fill="auto"/>
          </w:tcPr>
          <w:p w14:paraId="2EDF8F3B" w14:textId="77777777" w:rsidR="00453714" w:rsidRDefault="00453714">
            <w:pPr>
              <w:jc w:val="center"/>
            </w:pPr>
          </w:p>
        </w:tc>
        <w:tc>
          <w:tcPr>
            <w:tcW w:w="1771" w:type="dxa"/>
            <w:shd w:val="clear" w:color="auto" w:fill="auto"/>
          </w:tcPr>
          <w:p w14:paraId="51869F07" w14:textId="77777777" w:rsidR="00453714" w:rsidRDefault="00453714">
            <w:pPr>
              <w:jc w:val="center"/>
            </w:pPr>
          </w:p>
        </w:tc>
        <w:tc>
          <w:tcPr>
            <w:tcW w:w="1246" w:type="dxa"/>
            <w:shd w:val="clear" w:color="auto" w:fill="auto"/>
          </w:tcPr>
          <w:p w14:paraId="348FAC28" w14:textId="77777777" w:rsidR="00453714" w:rsidRDefault="00453714">
            <w:pPr>
              <w:jc w:val="center"/>
            </w:pPr>
          </w:p>
        </w:tc>
        <w:tc>
          <w:tcPr>
            <w:tcW w:w="1800" w:type="dxa"/>
            <w:shd w:val="clear" w:color="auto" w:fill="auto"/>
          </w:tcPr>
          <w:p w14:paraId="06CC417E" w14:textId="77777777" w:rsidR="00453714" w:rsidRDefault="00453714">
            <w:pPr>
              <w:jc w:val="center"/>
            </w:pPr>
          </w:p>
        </w:tc>
        <w:tc>
          <w:tcPr>
            <w:tcW w:w="1620" w:type="dxa"/>
            <w:shd w:val="clear" w:color="auto" w:fill="auto"/>
          </w:tcPr>
          <w:p w14:paraId="64F932C6" w14:textId="77777777" w:rsidR="00453714" w:rsidRDefault="00453714">
            <w:pPr>
              <w:jc w:val="center"/>
            </w:pPr>
          </w:p>
        </w:tc>
      </w:tr>
      <w:tr w:rsidR="00453714" w14:paraId="7878AE49" w14:textId="77777777">
        <w:tc>
          <w:tcPr>
            <w:tcW w:w="1771" w:type="dxa"/>
            <w:shd w:val="clear" w:color="auto" w:fill="auto"/>
          </w:tcPr>
          <w:p w14:paraId="5943265B" w14:textId="77777777" w:rsidR="00453714" w:rsidRDefault="00453714">
            <w:pPr>
              <w:jc w:val="center"/>
            </w:pPr>
          </w:p>
        </w:tc>
        <w:tc>
          <w:tcPr>
            <w:tcW w:w="1771" w:type="dxa"/>
            <w:shd w:val="clear" w:color="auto" w:fill="auto"/>
          </w:tcPr>
          <w:p w14:paraId="00236846" w14:textId="77777777" w:rsidR="00453714" w:rsidRDefault="00453714">
            <w:pPr>
              <w:jc w:val="center"/>
            </w:pPr>
          </w:p>
        </w:tc>
        <w:tc>
          <w:tcPr>
            <w:tcW w:w="1246" w:type="dxa"/>
            <w:shd w:val="clear" w:color="auto" w:fill="auto"/>
          </w:tcPr>
          <w:p w14:paraId="6963F887" w14:textId="77777777" w:rsidR="00453714" w:rsidRDefault="00453714">
            <w:pPr>
              <w:jc w:val="center"/>
            </w:pPr>
          </w:p>
        </w:tc>
        <w:tc>
          <w:tcPr>
            <w:tcW w:w="1800" w:type="dxa"/>
            <w:shd w:val="clear" w:color="auto" w:fill="auto"/>
          </w:tcPr>
          <w:p w14:paraId="3B424E9A" w14:textId="77777777" w:rsidR="00453714" w:rsidRDefault="00453714">
            <w:pPr>
              <w:jc w:val="center"/>
            </w:pPr>
          </w:p>
        </w:tc>
        <w:tc>
          <w:tcPr>
            <w:tcW w:w="1620" w:type="dxa"/>
            <w:shd w:val="clear" w:color="auto" w:fill="auto"/>
          </w:tcPr>
          <w:p w14:paraId="79CE3FF6" w14:textId="77777777" w:rsidR="00453714" w:rsidRDefault="00453714">
            <w:pPr>
              <w:jc w:val="center"/>
            </w:pPr>
          </w:p>
        </w:tc>
      </w:tr>
      <w:tr w:rsidR="00453714" w14:paraId="4BBB3EDF" w14:textId="77777777">
        <w:tc>
          <w:tcPr>
            <w:tcW w:w="1771" w:type="dxa"/>
            <w:shd w:val="clear" w:color="auto" w:fill="auto"/>
          </w:tcPr>
          <w:p w14:paraId="48C31257" w14:textId="77777777" w:rsidR="00453714" w:rsidRDefault="00453714">
            <w:pPr>
              <w:jc w:val="center"/>
            </w:pPr>
          </w:p>
        </w:tc>
        <w:tc>
          <w:tcPr>
            <w:tcW w:w="1771" w:type="dxa"/>
            <w:shd w:val="clear" w:color="auto" w:fill="auto"/>
          </w:tcPr>
          <w:p w14:paraId="7EA37C20" w14:textId="77777777" w:rsidR="00453714" w:rsidRDefault="00453714">
            <w:pPr>
              <w:jc w:val="center"/>
            </w:pPr>
          </w:p>
        </w:tc>
        <w:tc>
          <w:tcPr>
            <w:tcW w:w="1246" w:type="dxa"/>
            <w:shd w:val="clear" w:color="auto" w:fill="auto"/>
          </w:tcPr>
          <w:p w14:paraId="60DDE6BD" w14:textId="77777777" w:rsidR="00453714" w:rsidRDefault="00453714">
            <w:pPr>
              <w:jc w:val="center"/>
            </w:pPr>
          </w:p>
        </w:tc>
        <w:tc>
          <w:tcPr>
            <w:tcW w:w="1800" w:type="dxa"/>
            <w:shd w:val="clear" w:color="auto" w:fill="auto"/>
          </w:tcPr>
          <w:p w14:paraId="3BE9B81A" w14:textId="77777777" w:rsidR="00453714" w:rsidRDefault="00453714">
            <w:pPr>
              <w:jc w:val="center"/>
            </w:pPr>
          </w:p>
        </w:tc>
        <w:tc>
          <w:tcPr>
            <w:tcW w:w="1620" w:type="dxa"/>
            <w:shd w:val="clear" w:color="auto" w:fill="auto"/>
          </w:tcPr>
          <w:p w14:paraId="10489650" w14:textId="77777777" w:rsidR="00453714" w:rsidRDefault="00453714">
            <w:pPr>
              <w:jc w:val="center"/>
            </w:pPr>
          </w:p>
        </w:tc>
      </w:tr>
      <w:tr w:rsidR="00453714" w14:paraId="1C485565" w14:textId="77777777">
        <w:tc>
          <w:tcPr>
            <w:tcW w:w="1771" w:type="dxa"/>
            <w:shd w:val="clear" w:color="auto" w:fill="auto"/>
          </w:tcPr>
          <w:p w14:paraId="6967D99C" w14:textId="77777777" w:rsidR="00453714" w:rsidRDefault="00453714">
            <w:pPr>
              <w:jc w:val="center"/>
            </w:pPr>
          </w:p>
        </w:tc>
        <w:tc>
          <w:tcPr>
            <w:tcW w:w="1771" w:type="dxa"/>
            <w:shd w:val="clear" w:color="auto" w:fill="auto"/>
          </w:tcPr>
          <w:p w14:paraId="50142564" w14:textId="77777777" w:rsidR="00453714" w:rsidRDefault="00453714">
            <w:pPr>
              <w:jc w:val="center"/>
            </w:pPr>
          </w:p>
        </w:tc>
        <w:tc>
          <w:tcPr>
            <w:tcW w:w="1246" w:type="dxa"/>
            <w:shd w:val="clear" w:color="auto" w:fill="auto"/>
          </w:tcPr>
          <w:p w14:paraId="2FEB4080" w14:textId="77777777" w:rsidR="00453714" w:rsidRDefault="00453714">
            <w:pPr>
              <w:jc w:val="center"/>
            </w:pPr>
          </w:p>
        </w:tc>
        <w:tc>
          <w:tcPr>
            <w:tcW w:w="1800" w:type="dxa"/>
            <w:shd w:val="clear" w:color="auto" w:fill="auto"/>
          </w:tcPr>
          <w:p w14:paraId="6F1639CD" w14:textId="77777777" w:rsidR="00453714" w:rsidRDefault="00453714">
            <w:pPr>
              <w:jc w:val="center"/>
            </w:pPr>
          </w:p>
        </w:tc>
        <w:tc>
          <w:tcPr>
            <w:tcW w:w="1620" w:type="dxa"/>
            <w:shd w:val="clear" w:color="auto" w:fill="auto"/>
          </w:tcPr>
          <w:p w14:paraId="42B45C5E" w14:textId="77777777" w:rsidR="00453714" w:rsidRDefault="00453714">
            <w:pPr>
              <w:jc w:val="center"/>
            </w:pPr>
          </w:p>
        </w:tc>
      </w:tr>
      <w:tr w:rsidR="00453714" w14:paraId="50F3663B" w14:textId="77777777">
        <w:tc>
          <w:tcPr>
            <w:tcW w:w="1771" w:type="dxa"/>
            <w:shd w:val="clear" w:color="auto" w:fill="auto"/>
          </w:tcPr>
          <w:p w14:paraId="1E00D5F7" w14:textId="77777777" w:rsidR="00453714" w:rsidRDefault="00453714">
            <w:pPr>
              <w:jc w:val="center"/>
            </w:pPr>
          </w:p>
        </w:tc>
        <w:tc>
          <w:tcPr>
            <w:tcW w:w="1771" w:type="dxa"/>
            <w:shd w:val="clear" w:color="auto" w:fill="auto"/>
          </w:tcPr>
          <w:p w14:paraId="211D2924" w14:textId="77777777" w:rsidR="00453714" w:rsidRDefault="00453714">
            <w:pPr>
              <w:jc w:val="center"/>
            </w:pPr>
          </w:p>
        </w:tc>
        <w:tc>
          <w:tcPr>
            <w:tcW w:w="1246" w:type="dxa"/>
            <w:shd w:val="clear" w:color="auto" w:fill="auto"/>
          </w:tcPr>
          <w:p w14:paraId="76C01DB2" w14:textId="77777777" w:rsidR="00453714" w:rsidRDefault="00453714">
            <w:pPr>
              <w:jc w:val="center"/>
            </w:pPr>
          </w:p>
        </w:tc>
        <w:tc>
          <w:tcPr>
            <w:tcW w:w="1800" w:type="dxa"/>
            <w:shd w:val="clear" w:color="auto" w:fill="auto"/>
          </w:tcPr>
          <w:p w14:paraId="43402AC7" w14:textId="77777777" w:rsidR="00453714" w:rsidRDefault="00453714">
            <w:pPr>
              <w:jc w:val="center"/>
            </w:pPr>
          </w:p>
        </w:tc>
        <w:tc>
          <w:tcPr>
            <w:tcW w:w="1620" w:type="dxa"/>
            <w:shd w:val="clear" w:color="auto" w:fill="auto"/>
          </w:tcPr>
          <w:p w14:paraId="0FB5EA8A" w14:textId="77777777" w:rsidR="00453714" w:rsidRDefault="00453714">
            <w:pPr>
              <w:jc w:val="center"/>
            </w:pPr>
          </w:p>
        </w:tc>
      </w:tr>
      <w:tr w:rsidR="00453714" w14:paraId="386E87B4" w14:textId="77777777">
        <w:tc>
          <w:tcPr>
            <w:tcW w:w="1771" w:type="dxa"/>
            <w:shd w:val="clear" w:color="auto" w:fill="auto"/>
          </w:tcPr>
          <w:p w14:paraId="24A5C4D2" w14:textId="77777777" w:rsidR="00453714" w:rsidRDefault="00453714">
            <w:pPr>
              <w:jc w:val="center"/>
            </w:pPr>
          </w:p>
        </w:tc>
        <w:tc>
          <w:tcPr>
            <w:tcW w:w="1771" w:type="dxa"/>
            <w:shd w:val="clear" w:color="auto" w:fill="auto"/>
          </w:tcPr>
          <w:p w14:paraId="067C6889" w14:textId="77777777" w:rsidR="00453714" w:rsidRDefault="00453714">
            <w:pPr>
              <w:jc w:val="center"/>
            </w:pPr>
          </w:p>
        </w:tc>
        <w:tc>
          <w:tcPr>
            <w:tcW w:w="1246" w:type="dxa"/>
            <w:shd w:val="clear" w:color="auto" w:fill="auto"/>
          </w:tcPr>
          <w:p w14:paraId="6DC304BE" w14:textId="77777777" w:rsidR="00453714" w:rsidRDefault="00453714">
            <w:pPr>
              <w:jc w:val="center"/>
            </w:pPr>
          </w:p>
        </w:tc>
        <w:tc>
          <w:tcPr>
            <w:tcW w:w="1800" w:type="dxa"/>
            <w:shd w:val="clear" w:color="auto" w:fill="auto"/>
          </w:tcPr>
          <w:p w14:paraId="6D99D6F8" w14:textId="77777777" w:rsidR="00453714" w:rsidRDefault="00453714">
            <w:pPr>
              <w:jc w:val="center"/>
            </w:pPr>
          </w:p>
        </w:tc>
        <w:tc>
          <w:tcPr>
            <w:tcW w:w="1620" w:type="dxa"/>
            <w:shd w:val="clear" w:color="auto" w:fill="auto"/>
          </w:tcPr>
          <w:p w14:paraId="41D8E24D" w14:textId="77777777" w:rsidR="00453714" w:rsidRDefault="00453714">
            <w:pPr>
              <w:jc w:val="center"/>
            </w:pPr>
          </w:p>
        </w:tc>
      </w:tr>
      <w:tr w:rsidR="00453714" w14:paraId="0C0BDE3F" w14:textId="77777777">
        <w:tc>
          <w:tcPr>
            <w:tcW w:w="1771" w:type="dxa"/>
            <w:shd w:val="clear" w:color="auto" w:fill="auto"/>
          </w:tcPr>
          <w:p w14:paraId="0358D52B" w14:textId="77777777" w:rsidR="00453714" w:rsidRDefault="00453714">
            <w:pPr>
              <w:jc w:val="center"/>
            </w:pPr>
          </w:p>
        </w:tc>
        <w:tc>
          <w:tcPr>
            <w:tcW w:w="1771" w:type="dxa"/>
            <w:shd w:val="clear" w:color="auto" w:fill="auto"/>
          </w:tcPr>
          <w:p w14:paraId="01F67EC2" w14:textId="77777777" w:rsidR="00453714" w:rsidRDefault="00453714">
            <w:pPr>
              <w:jc w:val="center"/>
            </w:pPr>
          </w:p>
        </w:tc>
        <w:tc>
          <w:tcPr>
            <w:tcW w:w="1246" w:type="dxa"/>
            <w:shd w:val="clear" w:color="auto" w:fill="auto"/>
          </w:tcPr>
          <w:p w14:paraId="68698B6D" w14:textId="77777777" w:rsidR="00453714" w:rsidRDefault="00453714">
            <w:pPr>
              <w:jc w:val="center"/>
            </w:pPr>
          </w:p>
        </w:tc>
        <w:tc>
          <w:tcPr>
            <w:tcW w:w="1800" w:type="dxa"/>
            <w:shd w:val="clear" w:color="auto" w:fill="auto"/>
          </w:tcPr>
          <w:p w14:paraId="3416C239" w14:textId="77777777" w:rsidR="00453714" w:rsidRDefault="00453714">
            <w:pPr>
              <w:jc w:val="center"/>
            </w:pPr>
          </w:p>
        </w:tc>
        <w:tc>
          <w:tcPr>
            <w:tcW w:w="1620" w:type="dxa"/>
            <w:shd w:val="clear" w:color="auto" w:fill="auto"/>
          </w:tcPr>
          <w:p w14:paraId="6825C538" w14:textId="77777777" w:rsidR="00453714" w:rsidRDefault="00453714">
            <w:pPr>
              <w:jc w:val="center"/>
            </w:pPr>
          </w:p>
        </w:tc>
      </w:tr>
      <w:tr w:rsidR="00453714" w14:paraId="2C0652E2" w14:textId="77777777">
        <w:tc>
          <w:tcPr>
            <w:tcW w:w="1771" w:type="dxa"/>
            <w:shd w:val="clear" w:color="auto" w:fill="auto"/>
          </w:tcPr>
          <w:p w14:paraId="3E59D5C1" w14:textId="77777777" w:rsidR="00453714" w:rsidRDefault="00453714">
            <w:pPr>
              <w:jc w:val="center"/>
            </w:pPr>
          </w:p>
        </w:tc>
        <w:tc>
          <w:tcPr>
            <w:tcW w:w="1771" w:type="dxa"/>
            <w:shd w:val="clear" w:color="auto" w:fill="auto"/>
          </w:tcPr>
          <w:p w14:paraId="176A0FCD" w14:textId="77777777" w:rsidR="00453714" w:rsidRDefault="00453714">
            <w:pPr>
              <w:jc w:val="center"/>
            </w:pPr>
          </w:p>
        </w:tc>
        <w:tc>
          <w:tcPr>
            <w:tcW w:w="1246" w:type="dxa"/>
            <w:shd w:val="clear" w:color="auto" w:fill="auto"/>
          </w:tcPr>
          <w:p w14:paraId="5AECF846" w14:textId="77777777" w:rsidR="00453714" w:rsidRDefault="00453714">
            <w:pPr>
              <w:jc w:val="center"/>
            </w:pPr>
          </w:p>
        </w:tc>
        <w:tc>
          <w:tcPr>
            <w:tcW w:w="1800" w:type="dxa"/>
            <w:shd w:val="clear" w:color="auto" w:fill="auto"/>
          </w:tcPr>
          <w:p w14:paraId="4FFD763D" w14:textId="77777777" w:rsidR="00453714" w:rsidRDefault="00453714">
            <w:pPr>
              <w:jc w:val="center"/>
            </w:pPr>
          </w:p>
        </w:tc>
        <w:tc>
          <w:tcPr>
            <w:tcW w:w="1620" w:type="dxa"/>
            <w:shd w:val="clear" w:color="auto" w:fill="auto"/>
          </w:tcPr>
          <w:p w14:paraId="49ADCFB6" w14:textId="77777777" w:rsidR="00453714" w:rsidRDefault="00453714">
            <w:pPr>
              <w:jc w:val="center"/>
            </w:pPr>
          </w:p>
        </w:tc>
      </w:tr>
      <w:tr w:rsidR="00453714" w14:paraId="761231C1" w14:textId="77777777">
        <w:tc>
          <w:tcPr>
            <w:tcW w:w="1771" w:type="dxa"/>
            <w:shd w:val="clear" w:color="auto" w:fill="auto"/>
          </w:tcPr>
          <w:p w14:paraId="09A672CF" w14:textId="77777777" w:rsidR="00453714" w:rsidRDefault="00453714">
            <w:pPr>
              <w:jc w:val="center"/>
            </w:pPr>
          </w:p>
        </w:tc>
        <w:tc>
          <w:tcPr>
            <w:tcW w:w="1771" w:type="dxa"/>
            <w:shd w:val="clear" w:color="auto" w:fill="auto"/>
          </w:tcPr>
          <w:p w14:paraId="518F2658" w14:textId="77777777" w:rsidR="00453714" w:rsidRDefault="00453714">
            <w:pPr>
              <w:jc w:val="center"/>
            </w:pPr>
          </w:p>
        </w:tc>
        <w:tc>
          <w:tcPr>
            <w:tcW w:w="1246" w:type="dxa"/>
            <w:shd w:val="clear" w:color="auto" w:fill="auto"/>
          </w:tcPr>
          <w:p w14:paraId="7BBEF22E" w14:textId="77777777" w:rsidR="00453714" w:rsidRDefault="00453714">
            <w:pPr>
              <w:jc w:val="center"/>
            </w:pPr>
          </w:p>
        </w:tc>
        <w:tc>
          <w:tcPr>
            <w:tcW w:w="1800" w:type="dxa"/>
            <w:shd w:val="clear" w:color="auto" w:fill="auto"/>
          </w:tcPr>
          <w:p w14:paraId="675DC459" w14:textId="77777777" w:rsidR="00453714" w:rsidRDefault="00453714">
            <w:pPr>
              <w:jc w:val="center"/>
            </w:pPr>
          </w:p>
        </w:tc>
        <w:tc>
          <w:tcPr>
            <w:tcW w:w="1620" w:type="dxa"/>
            <w:shd w:val="clear" w:color="auto" w:fill="auto"/>
          </w:tcPr>
          <w:p w14:paraId="13426B11" w14:textId="77777777" w:rsidR="00453714" w:rsidRDefault="00453714">
            <w:pPr>
              <w:jc w:val="center"/>
            </w:pPr>
          </w:p>
        </w:tc>
      </w:tr>
      <w:tr w:rsidR="00453714" w14:paraId="0D8EF550" w14:textId="77777777">
        <w:tc>
          <w:tcPr>
            <w:tcW w:w="1771" w:type="dxa"/>
            <w:shd w:val="clear" w:color="auto" w:fill="auto"/>
          </w:tcPr>
          <w:p w14:paraId="330BBD5D" w14:textId="77777777" w:rsidR="00453714" w:rsidRDefault="00453714">
            <w:pPr>
              <w:jc w:val="center"/>
            </w:pPr>
          </w:p>
        </w:tc>
        <w:tc>
          <w:tcPr>
            <w:tcW w:w="1771" w:type="dxa"/>
            <w:shd w:val="clear" w:color="auto" w:fill="auto"/>
          </w:tcPr>
          <w:p w14:paraId="646C6330" w14:textId="77777777" w:rsidR="00453714" w:rsidRDefault="00453714">
            <w:pPr>
              <w:jc w:val="center"/>
            </w:pPr>
          </w:p>
        </w:tc>
        <w:tc>
          <w:tcPr>
            <w:tcW w:w="1246" w:type="dxa"/>
            <w:shd w:val="clear" w:color="auto" w:fill="auto"/>
          </w:tcPr>
          <w:p w14:paraId="2D261070" w14:textId="77777777" w:rsidR="00453714" w:rsidRDefault="00453714">
            <w:pPr>
              <w:jc w:val="center"/>
            </w:pPr>
          </w:p>
        </w:tc>
        <w:tc>
          <w:tcPr>
            <w:tcW w:w="1800" w:type="dxa"/>
            <w:shd w:val="clear" w:color="auto" w:fill="auto"/>
          </w:tcPr>
          <w:p w14:paraId="28517706" w14:textId="77777777" w:rsidR="00453714" w:rsidRDefault="00453714">
            <w:pPr>
              <w:jc w:val="center"/>
            </w:pPr>
          </w:p>
        </w:tc>
        <w:tc>
          <w:tcPr>
            <w:tcW w:w="1620" w:type="dxa"/>
            <w:shd w:val="clear" w:color="auto" w:fill="auto"/>
          </w:tcPr>
          <w:p w14:paraId="584FEEF4" w14:textId="77777777" w:rsidR="00453714" w:rsidRDefault="00453714">
            <w:pPr>
              <w:jc w:val="center"/>
            </w:pPr>
          </w:p>
        </w:tc>
      </w:tr>
      <w:tr w:rsidR="00453714" w14:paraId="619A8F32" w14:textId="77777777">
        <w:tc>
          <w:tcPr>
            <w:tcW w:w="1771" w:type="dxa"/>
            <w:shd w:val="clear" w:color="auto" w:fill="auto"/>
          </w:tcPr>
          <w:p w14:paraId="4065BC67" w14:textId="77777777" w:rsidR="00453714" w:rsidRDefault="00453714">
            <w:pPr>
              <w:jc w:val="center"/>
            </w:pPr>
          </w:p>
        </w:tc>
        <w:tc>
          <w:tcPr>
            <w:tcW w:w="1771" w:type="dxa"/>
            <w:shd w:val="clear" w:color="auto" w:fill="auto"/>
          </w:tcPr>
          <w:p w14:paraId="19F99A0E" w14:textId="77777777" w:rsidR="00453714" w:rsidRDefault="00453714">
            <w:pPr>
              <w:jc w:val="center"/>
            </w:pPr>
          </w:p>
        </w:tc>
        <w:tc>
          <w:tcPr>
            <w:tcW w:w="1246" w:type="dxa"/>
            <w:shd w:val="clear" w:color="auto" w:fill="auto"/>
          </w:tcPr>
          <w:p w14:paraId="1797CE60" w14:textId="77777777" w:rsidR="00453714" w:rsidRDefault="00453714">
            <w:pPr>
              <w:jc w:val="center"/>
            </w:pPr>
          </w:p>
        </w:tc>
        <w:tc>
          <w:tcPr>
            <w:tcW w:w="1800" w:type="dxa"/>
            <w:shd w:val="clear" w:color="auto" w:fill="auto"/>
          </w:tcPr>
          <w:p w14:paraId="35D4F0B3" w14:textId="77777777" w:rsidR="00453714" w:rsidRDefault="00453714">
            <w:pPr>
              <w:jc w:val="center"/>
            </w:pPr>
          </w:p>
        </w:tc>
        <w:tc>
          <w:tcPr>
            <w:tcW w:w="1620" w:type="dxa"/>
            <w:shd w:val="clear" w:color="auto" w:fill="auto"/>
          </w:tcPr>
          <w:p w14:paraId="4522C2DE" w14:textId="77777777" w:rsidR="00453714" w:rsidRDefault="00453714">
            <w:pPr>
              <w:jc w:val="center"/>
            </w:pPr>
          </w:p>
        </w:tc>
      </w:tr>
      <w:tr w:rsidR="00453714" w14:paraId="6ECAB292" w14:textId="77777777">
        <w:tc>
          <w:tcPr>
            <w:tcW w:w="1771" w:type="dxa"/>
            <w:shd w:val="clear" w:color="auto" w:fill="auto"/>
          </w:tcPr>
          <w:p w14:paraId="0174551F" w14:textId="77777777" w:rsidR="00453714" w:rsidRDefault="00453714">
            <w:pPr>
              <w:jc w:val="center"/>
            </w:pPr>
          </w:p>
        </w:tc>
        <w:tc>
          <w:tcPr>
            <w:tcW w:w="1771" w:type="dxa"/>
            <w:shd w:val="clear" w:color="auto" w:fill="auto"/>
          </w:tcPr>
          <w:p w14:paraId="66F24593" w14:textId="77777777" w:rsidR="00453714" w:rsidRDefault="00453714">
            <w:pPr>
              <w:jc w:val="center"/>
            </w:pPr>
          </w:p>
        </w:tc>
        <w:tc>
          <w:tcPr>
            <w:tcW w:w="1246" w:type="dxa"/>
            <w:shd w:val="clear" w:color="auto" w:fill="auto"/>
          </w:tcPr>
          <w:p w14:paraId="776404E6" w14:textId="77777777" w:rsidR="00453714" w:rsidRDefault="00453714">
            <w:pPr>
              <w:jc w:val="center"/>
            </w:pPr>
          </w:p>
        </w:tc>
        <w:tc>
          <w:tcPr>
            <w:tcW w:w="1800" w:type="dxa"/>
            <w:shd w:val="clear" w:color="auto" w:fill="auto"/>
          </w:tcPr>
          <w:p w14:paraId="531CD175" w14:textId="77777777" w:rsidR="00453714" w:rsidRDefault="00453714">
            <w:pPr>
              <w:jc w:val="center"/>
            </w:pPr>
          </w:p>
        </w:tc>
        <w:tc>
          <w:tcPr>
            <w:tcW w:w="1620" w:type="dxa"/>
            <w:shd w:val="clear" w:color="auto" w:fill="auto"/>
          </w:tcPr>
          <w:p w14:paraId="139C508B" w14:textId="77777777" w:rsidR="00453714" w:rsidRDefault="00453714">
            <w:pPr>
              <w:jc w:val="center"/>
            </w:pPr>
          </w:p>
        </w:tc>
      </w:tr>
      <w:tr w:rsidR="00453714" w14:paraId="3126CDF8" w14:textId="77777777">
        <w:tc>
          <w:tcPr>
            <w:tcW w:w="1771" w:type="dxa"/>
            <w:shd w:val="clear" w:color="auto" w:fill="auto"/>
          </w:tcPr>
          <w:p w14:paraId="71316F37" w14:textId="77777777" w:rsidR="00453714" w:rsidRDefault="00453714">
            <w:pPr>
              <w:jc w:val="center"/>
            </w:pPr>
          </w:p>
        </w:tc>
        <w:tc>
          <w:tcPr>
            <w:tcW w:w="1771" w:type="dxa"/>
            <w:shd w:val="clear" w:color="auto" w:fill="auto"/>
          </w:tcPr>
          <w:p w14:paraId="10848BA4" w14:textId="77777777" w:rsidR="00453714" w:rsidRDefault="00453714">
            <w:pPr>
              <w:jc w:val="center"/>
            </w:pPr>
          </w:p>
        </w:tc>
        <w:tc>
          <w:tcPr>
            <w:tcW w:w="1246" w:type="dxa"/>
            <w:shd w:val="clear" w:color="auto" w:fill="auto"/>
          </w:tcPr>
          <w:p w14:paraId="47EDD364" w14:textId="77777777" w:rsidR="00453714" w:rsidRDefault="00453714">
            <w:pPr>
              <w:jc w:val="center"/>
            </w:pPr>
          </w:p>
        </w:tc>
        <w:tc>
          <w:tcPr>
            <w:tcW w:w="1800" w:type="dxa"/>
            <w:shd w:val="clear" w:color="auto" w:fill="auto"/>
          </w:tcPr>
          <w:p w14:paraId="09D381BE" w14:textId="77777777" w:rsidR="00453714" w:rsidRDefault="00453714">
            <w:pPr>
              <w:jc w:val="center"/>
            </w:pPr>
          </w:p>
        </w:tc>
        <w:tc>
          <w:tcPr>
            <w:tcW w:w="1620" w:type="dxa"/>
            <w:shd w:val="clear" w:color="auto" w:fill="auto"/>
          </w:tcPr>
          <w:p w14:paraId="12250468" w14:textId="77777777" w:rsidR="00453714" w:rsidRDefault="00453714">
            <w:pPr>
              <w:jc w:val="center"/>
            </w:pPr>
          </w:p>
        </w:tc>
      </w:tr>
      <w:tr w:rsidR="00453714" w14:paraId="14BE8623" w14:textId="77777777">
        <w:tc>
          <w:tcPr>
            <w:tcW w:w="1771" w:type="dxa"/>
            <w:shd w:val="clear" w:color="auto" w:fill="auto"/>
          </w:tcPr>
          <w:p w14:paraId="38B861CF" w14:textId="77777777" w:rsidR="00453714" w:rsidRDefault="00453714">
            <w:pPr>
              <w:jc w:val="center"/>
            </w:pPr>
          </w:p>
        </w:tc>
        <w:tc>
          <w:tcPr>
            <w:tcW w:w="1771" w:type="dxa"/>
            <w:shd w:val="clear" w:color="auto" w:fill="auto"/>
          </w:tcPr>
          <w:p w14:paraId="148D1D51" w14:textId="77777777" w:rsidR="00453714" w:rsidRDefault="00453714">
            <w:pPr>
              <w:jc w:val="center"/>
            </w:pPr>
          </w:p>
        </w:tc>
        <w:tc>
          <w:tcPr>
            <w:tcW w:w="1246" w:type="dxa"/>
            <w:shd w:val="clear" w:color="auto" w:fill="auto"/>
          </w:tcPr>
          <w:p w14:paraId="04AA5B1C" w14:textId="77777777" w:rsidR="00453714" w:rsidRDefault="00453714">
            <w:pPr>
              <w:jc w:val="center"/>
            </w:pPr>
          </w:p>
        </w:tc>
        <w:tc>
          <w:tcPr>
            <w:tcW w:w="1800" w:type="dxa"/>
            <w:shd w:val="clear" w:color="auto" w:fill="auto"/>
          </w:tcPr>
          <w:p w14:paraId="1675FADF" w14:textId="77777777" w:rsidR="00453714" w:rsidRDefault="00453714">
            <w:pPr>
              <w:jc w:val="center"/>
            </w:pPr>
          </w:p>
        </w:tc>
        <w:tc>
          <w:tcPr>
            <w:tcW w:w="1620" w:type="dxa"/>
            <w:shd w:val="clear" w:color="auto" w:fill="auto"/>
          </w:tcPr>
          <w:p w14:paraId="4725EB3E" w14:textId="77777777" w:rsidR="00453714" w:rsidRDefault="00453714">
            <w:pPr>
              <w:jc w:val="center"/>
            </w:pPr>
          </w:p>
        </w:tc>
      </w:tr>
      <w:tr w:rsidR="00453714" w14:paraId="2912D286" w14:textId="77777777">
        <w:tc>
          <w:tcPr>
            <w:tcW w:w="1771" w:type="dxa"/>
            <w:shd w:val="clear" w:color="auto" w:fill="auto"/>
          </w:tcPr>
          <w:p w14:paraId="6C2CB3AB" w14:textId="77777777" w:rsidR="00453714" w:rsidRDefault="00453714">
            <w:pPr>
              <w:jc w:val="center"/>
            </w:pPr>
          </w:p>
        </w:tc>
        <w:tc>
          <w:tcPr>
            <w:tcW w:w="1771" w:type="dxa"/>
            <w:shd w:val="clear" w:color="auto" w:fill="auto"/>
          </w:tcPr>
          <w:p w14:paraId="09F5A7DA" w14:textId="77777777" w:rsidR="00453714" w:rsidRDefault="00453714">
            <w:pPr>
              <w:jc w:val="center"/>
            </w:pPr>
          </w:p>
        </w:tc>
        <w:tc>
          <w:tcPr>
            <w:tcW w:w="1246" w:type="dxa"/>
            <w:shd w:val="clear" w:color="auto" w:fill="auto"/>
          </w:tcPr>
          <w:p w14:paraId="30350C12" w14:textId="77777777" w:rsidR="00453714" w:rsidRDefault="00453714">
            <w:pPr>
              <w:jc w:val="center"/>
            </w:pPr>
          </w:p>
        </w:tc>
        <w:tc>
          <w:tcPr>
            <w:tcW w:w="1800" w:type="dxa"/>
            <w:shd w:val="clear" w:color="auto" w:fill="auto"/>
          </w:tcPr>
          <w:p w14:paraId="7E1CD904" w14:textId="77777777" w:rsidR="00453714" w:rsidRDefault="00453714">
            <w:pPr>
              <w:jc w:val="center"/>
            </w:pPr>
          </w:p>
        </w:tc>
        <w:tc>
          <w:tcPr>
            <w:tcW w:w="1620" w:type="dxa"/>
            <w:shd w:val="clear" w:color="auto" w:fill="auto"/>
          </w:tcPr>
          <w:p w14:paraId="33BE5D6C" w14:textId="77777777" w:rsidR="00453714" w:rsidRDefault="00453714">
            <w:pPr>
              <w:jc w:val="center"/>
            </w:pPr>
          </w:p>
        </w:tc>
      </w:tr>
      <w:tr w:rsidR="00453714" w14:paraId="23B75CFA" w14:textId="77777777">
        <w:tc>
          <w:tcPr>
            <w:tcW w:w="1771" w:type="dxa"/>
            <w:shd w:val="clear" w:color="auto" w:fill="auto"/>
          </w:tcPr>
          <w:p w14:paraId="522333CC" w14:textId="77777777" w:rsidR="00453714" w:rsidRDefault="00453714">
            <w:pPr>
              <w:jc w:val="center"/>
            </w:pPr>
          </w:p>
        </w:tc>
        <w:tc>
          <w:tcPr>
            <w:tcW w:w="1771" w:type="dxa"/>
            <w:shd w:val="clear" w:color="auto" w:fill="auto"/>
          </w:tcPr>
          <w:p w14:paraId="2B870023" w14:textId="77777777" w:rsidR="00453714" w:rsidRDefault="00453714">
            <w:pPr>
              <w:jc w:val="center"/>
            </w:pPr>
          </w:p>
        </w:tc>
        <w:tc>
          <w:tcPr>
            <w:tcW w:w="1246" w:type="dxa"/>
            <w:shd w:val="clear" w:color="auto" w:fill="auto"/>
          </w:tcPr>
          <w:p w14:paraId="751D0F2F" w14:textId="77777777" w:rsidR="00453714" w:rsidRDefault="00453714">
            <w:pPr>
              <w:jc w:val="center"/>
            </w:pPr>
          </w:p>
        </w:tc>
        <w:tc>
          <w:tcPr>
            <w:tcW w:w="1800" w:type="dxa"/>
            <w:shd w:val="clear" w:color="auto" w:fill="auto"/>
          </w:tcPr>
          <w:p w14:paraId="76DC816C" w14:textId="77777777" w:rsidR="00453714" w:rsidRDefault="00453714">
            <w:pPr>
              <w:jc w:val="center"/>
            </w:pPr>
          </w:p>
        </w:tc>
        <w:tc>
          <w:tcPr>
            <w:tcW w:w="1620" w:type="dxa"/>
            <w:shd w:val="clear" w:color="auto" w:fill="auto"/>
          </w:tcPr>
          <w:p w14:paraId="045DF61D" w14:textId="77777777" w:rsidR="00453714" w:rsidRDefault="00453714">
            <w:pPr>
              <w:jc w:val="center"/>
            </w:pPr>
          </w:p>
        </w:tc>
      </w:tr>
      <w:tr w:rsidR="00453714" w14:paraId="5AE00B71" w14:textId="77777777">
        <w:tc>
          <w:tcPr>
            <w:tcW w:w="1771" w:type="dxa"/>
            <w:shd w:val="clear" w:color="auto" w:fill="auto"/>
          </w:tcPr>
          <w:p w14:paraId="4C769D44" w14:textId="77777777" w:rsidR="00453714" w:rsidRDefault="00453714">
            <w:pPr>
              <w:jc w:val="center"/>
            </w:pPr>
          </w:p>
        </w:tc>
        <w:tc>
          <w:tcPr>
            <w:tcW w:w="1771" w:type="dxa"/>
            <w:shd w:val="clear" w:color="auto" w:fill="auto"/>
          </w:tcPr>
          <w:p w14:paraId="7D7C0740" w14:textId="77777777" w:rsidR="00453714" w:rsidRDefault="00453714">
            <w:pPr>
              <w:jc w:val="center"/>
            </w:pPr>
          </w:p>
        </w:tc>
        <w:tc>
          <w:tcPr>
            <w:tcW w:w="1246" w:type="dxa"/>
            <w:shd w:val="clear" w:color="auto" w:fill="auto"/>
          </w:tcPr>
          <w:p w14:paraId="1A2F2261" w14:textId="77777777" w:rsidR="00453714" w:rsidRDefault="00453714">
            <w:pPr>
              <w:jc w:val="center"/>
            </w:pPr>
          </w:p>
        </w:tc>
        <w:tc>
          <w:tcPr>
            <w:tcW w:w="1800" w:type="dxa"/>
            <w:shd w:val="clear" w:color="auto" w:fill="auto"/>
          </w:tcPr>
          <w:p w14:paraId="1D46AE18" w14:textId="77777777" w:rsidR="00453714" w:rsidRDefault="00453714">
            <w:pPr>
              <w:jc w:val="center"/>
            </w:pPr>
          </w:p>
        </w:tc>
        <w:tc>
          <w:tcPr>
            <w:tcW w:w="1620" w:type="dxa"/>
            <w:shd w:val="clear" w:color="auto" w:fill="auto"/>
          </w:tcPr>
          <w:p w14:paraId="3B9193CE" w14:textId="77777777" w:rsidR="00453714" w:rsidRDefault="00453714">
            <w:pPr>
              <w:jc w:val="center"/>
            </w:pPr>
          </w:p>
        </w:tc>
      </w:tr>
      <w:tr w:rsidR="00453714" w14:paraId="2673E64F" w14:textId="77777777">
        <w:tc>
          <w:tcPr>
            <w:tcW w:w="1771" w:type="dxa"/>
            <w:shd w:val="clear" w:color="auto" w:fill="auto"/>
          </w:tcPr>
          <w:p w14:paraId="6023E470" w14:textId="77777777" w:rsidR="00453714" w:rsidRDefault="00453714">
            <w:pPr>
              <w:jc w:val="center"/>
            </w:pPr>
          </w:p>
        </w:tc>
        <w:tc>
          <w:tcPr>
            <w:tcW w:w="1771" w:type="dxa"/>
            <w:shd w:val="clear" w:color="auto" w:fill="auto"/>
          </w:tcPr>
          <w:p w14:paraId="5BFF763A" w14:textId="77777777" w:rsidR="00453714" w:rsidRDefault="00453714">
            <w:pPr>
              <w:jc w:val="center"/>
            </w:pPr>
          </w:p>
        </w:tc>
        <w:tc>
          <w:tcPr>
            <w:tcW w:w="1246" w:type="dxa"/>
            <w:shd w:val="clear" w:color="auto" w:fill="auto"/>
          </w:tcPr>
          <w:p w14:paraId="72676B3B" w14:textId="77777777" w:rsidR="00453714" w:rsidRDefault="00453714">
            <w:pPr>
              <w:jc w:val="center"/>
            </w:pPr>
          </w:p>
        </w:tc>
        <w:tc>
          <w:tcPr>
            <w:tcW w:w="1800" w:type="dxa"/>
            <w:shd w:val="clear" w:color="auto" w:fill="auto"/>
          </w:tcPr>
          <w:p w14:paraId="0489A050" w14:textId="77777777" w:rsidR="00453714" w:rsidRDefault="00453714">
            <w:pPr>
              <w:jc w:val="center"/>
            </w:pPr>
          </w:p>
        </w:tc>
        <w:tc>
          <w:tcPr>
            <w:tcW w:w="1620" w:type="dxa"/>
            <w:shd w:val="clear" w:color="auto" w:fill="auto"/>
          </w:tcPr>
          <w:p w14:paraId="2ED7C381" w14:textId="77777777" w:rsidR="00453714" w:rsidRDefault="00453714">
            <w:pPr>
              <w:jc w:val="center"/>
            </w:pPr>
          </w:p>
        </w:tc>
      </w:tr>
      <w:tr w:rsidR="00453714" w14:paraId="13A09FDF" w14:textId="77777777">
        <w:tc>
          <w:tcPr>
            <w:tcW w:w="1771" w:type="dxa"/>
            <w:shd w:val="clear" w:color="auto" w:fill="auto"/>
          </w:tcPr>
          <w:p w14:paraId="47573240" w14:textId="77777777" w:rsidR="00453714" w:rsidRDefault="00453714">
            <w:pPr>
              <w:jc w:val="center"/>
            </w:pPr>
          </w:p>
        </w:tc>
        <w:tc>
          <w:tcPr>
            <w:tcW w:w="1771" w:type="dxa"/>
            <w:shd w:val="clear" w:color="auto" w:fill="auto"/>
          </w:tcPr>
          <w:p w14:paraId="772F9B03" w14:textId="77777777" w:rsidR="00453714" w:rsidRDefault="00453714">
            <w:pPr>
              <w:jc w:val="center"/>
            </w:pPr>
          </w:p>
        </w:tc>
        <w:tc>
          <w:tcPr>
            <w:tcW w:w="1246" w:type="dxa"/>
            <w:shd w:val="clear" w:color="auto" w:fill="auto"/>
          </w:tcPr>
          <w:p w14:paraId="785AB327" w14:textId="77777777" w:rsidR="00453714" w:rsidRDefault="00453714">
            <w:pPr>
              <w:jc w:val="center"/>
            </w:pPr>
          </w:p>
        </w:tc>
        <w:tc>
          <w:tcPr>
            <w:tcW w:w="1800" w:type="dxa"/>
            <w:shd w:val="clear" w:color="auto" w:fill="auto"/>
          </w:tcPr>
          <w:p w14:paraId="4A97E31E" w14:textId="77777777" w:rsidR="00453714" w:rsidRDefault="00453714">
            <w:pPr>
              <w:jc w:val="center"/>
            </w:pPr>
          </w:p>
        </w:tc>
        <w:tc>
          <w:tcPr>
            <w:tcW w:w="1620" w:type="dxa"/>
            <w:shd w:val="clear" w:color="auto" w:fill="auto"/>
          </w:tcPr>
          <w:p w14:paraId="3FF0CACB" w14:textId="77777777" w:rsidR="00453714" w:rsidRDefault="00453714">
            <w:pPr>
              <w:jc w:val="center"/>
            </w:pPr>
          </w:p>
        </w:tc>
      </w:tr>
      <w:tr w:rsidR="00453714" w14:paraId="20885FE1" w14:textId="77777777">
        <w:tc>
          <w:tcPr>
            <w:tcW w:w="1771" w:type="dxa"/>
            <w:shd w:val="clear" w:color="auto" w:fill="auto"/>
          </w:tcPr>
          <w:p w14:paraId="1421E47D" w14:textId="77777777" w:rsidR="00453714" w:rsidRDefault="00453714">
            <w:pPr>
              <w:jc w:val="center"/>
            </w:pPr>
          </w:p>
        </w:tc>
        <w:tc>
          <w:tcPr>
            <w:tcW w:w="1771" w:type="dxa"/>
            <w:shd w:val="clear" w:color="auto" w:fill="auto"/>
          </w:tcPr>
          <w:p w14:paraId="734744E8" w14:textId="77777777" w:rsidR="00453714" w:rsidRDefault="00453714">
            <w:pPr>
              <w:jc w:val="center"/>
            </w:pPr>
          </w:p>
        </w:tc>
        <w:tc>
          <w:tcPr>
            <w:tcW w:w="1246" w:type="dxa"/>
            <w:shd w:val="clear" w:color="auto" w:fill="auto"/>
          </w:tcPr>
          <w:p w14:paraId="102B6CA6" w14:textId="77777777" w:rsidR="00453714" w:rsidRDefault="00453714">
            <w:pPr>
              <w:jc w:val="center"/>
            </w:pPr>
          </w:p>
        </w:tc>
        <w:tc>
          <w:tcPr>
            <w:tcW w:w="1800" w:type="dxa"/>
            <w:shd w:val="clear" w:color="auto" w:fill="auto"/>
          </w:tcPr>
          <w:p w14:paraId="6CF3D33A" w14:textId="77777777" w:rsidR="00453714" w:rsidRDefault="00453714">
            <w:pPr>
              <w:jc w:val="center"/>
            </w:pPr>
          </w:p>
        </w:tc>
        <w:tc>
          <w:tcPr>
            <w:tcW w:w="1620" w:type="dxa"/>
            <w:shd w:val="clear" w:color="auto" w:fill="auto"/>
          </w:tcPr>
          <w:p w14:paraId="60FB3761" w14:textId="77777777" w:rsidR="00453714" w:rsidRDefault="00453714">
            <w:pPr>
              <w:jc w:val="center"/>
            </w:pPr>
          </w:p>
        </w:tc>
      </w:tr>
      <w:tr w:rsidR="00453714" w14:paraId="7FEA7BE7" w14:textId="77777777">
        <w:tc>
          <w:tcPr>
            <w:tcW w:w="1771" w:type="dxa"/>
            <w:shd w:val="clear" w:color="auto" w:fill="auto"/>
          </w:tcPr>
          <w:p w14:paraId="2AD2F3D6" w14:textId="77777777" w:rsidR="00453714" w:rsidRDefault="00453714">
            <w:pPr>
              <w:jc w:val="center"/>
            </w:pPr>
          </w:p>
        </w:tc>
        <w:tc>
          <w:tcPr>
            <w:tcW w:w="1771" w:type="dxa"/>
            <w:shd w:val="clear" w:color="auto" w:fill="auto"/>
          </w:tcPr>
          <w:p w14:paraId="79E11BF3" w14:textId="77777777" w:rsidR="00453714" w:rsidRDefault="00453714">
            <w:pPr>
              <w:jc w:val="center"/>
            </w:pPr>
          </w:p>
        </w:tc>
        <w:tc>
          <w:tcPr>
            <w:tcW w:w="1246" w:type="dxa"/>
            <w:shd w:val="clear" w:color="auto" w:fill="auto"/>
          </w:tcPr>
          <w:p w14:paraId="4BFA36DB" w14:textId="77777777" w:rsidR="00453714" w:rsidRDefault="00453714">
            <w:pPr>
              <w:jc w:val="center"/>
            </w:pPr>
          </w:p>
        </w:tc>
        <w:tc>
          <w:tcPr>
            <w:tcW w:w="1800" w:type="dxa"/>
            <w:shd w:val="clear" w:color="auto" w:fill="auto"/>
          </w:tcPr>
          <w:p w14:paraId="591759E1" w14:textId="77777777" w:rsidR="00453714" w:rsidRDefault="00453714">
            <w:pPr>
              <w:jc w:val="center"/>
            </w:pPr>
          </w:p>
        </w:tc>
        <w:tc>
          <w:tcPr>
            <w:tcW w:w="1620" w:type="dxa"/>
            <w:shd w:val="clear" w:color="auto" w:fill="auto"/>
          </w:tcPr>
          <w:p w14:paraId="6FE00346" w14:textId="77777777" w:rsidR="00453714" w:rsidRDefault="00453714">
            <w:pPr>
              <w:jc w:val="center"/>
            </w:pPr>
          </w:p>
        </w:tc>
      </w:tr>
      <w:tr w:rsidR="00453714" w14:paraId="38F09385" w14:textId="77777777">
        <w:tc>
          <w:tcPr>
            <w:tcW w:w="1771" w:type="dxa"/>
            <w:shd w:val="clear" w:color="auto" w:fill="auto"/>
          </w:tcPr>
          <w:p w14:paraId="61A04746" w14:textId="77777777" w:rsidR="00453714" w:rsidRDefault="00453714">
            <w:pPr>
              <w:jc w:val="center"/>
            </w:pPr>
          </w:p>
        </w:tc>
        <w:tc>
          <w:tcPr>
            <w:tcW w:w="1771" w:type="dxa"/>
            <w:shd w:val="clear" w:color="auto" w:fill="auto"/>
          </w:tcPr>
          <w:p w14:paraId="5CDB3A18" w14:textId="77777777" w:rsidR="00453714" w:rsidRDefault="00453714">
            <w:pPr>
              <w:jc w:val="center"/>
            </w:pPr>
          </w:p>
        </w:tc>
        <w:tc>
          <w:tcPr>
            <w:tcW w:w="1246" w:type="dxa"/>
            <w:shd w:val="clear" w:color="auto" w:fill="auto"/>
          </w:tcPr>
          <w:p w14:paraId="6150999C" w14:textId="77777777" w:rsidR="00453714" w:rsidRDefault="00453714">
            <w:pPr>
              <w:jc w:val="center"/>
            </w:pPr>
          </w:p>
        </w:tc>
        <w:tc>
          <w:tcPr>
            <w:tcW w:w="1800" w:type="dxa"/>
            <w:shd w:val="clear" w:color="auto" w:fill="auto"/>
          </w:tcPr>
          <w:p w14:paraId="6C21EF47" w14:textId="77777777" w:rsidR="00453714" w:rsidRDefault="00453714">
            <w:pPr>
              <w:jc w:val="center"/>
            </w:pPr>
          </w:p>
        </w:tc>
        <w:tc>
          <w:tcPr>
            <w:tcW w:w="1620" w:type="dxa"/>
            <w:shd w:val="clear" w:color="auto" w:fill="auto"/>
          </w:tcPr>
          <w:p w14:paraId="6CE56F6D" w14:textId="77777777" w:rsidR="00453714" w:rsidRDefault="00453714">
            <w:pPr>
              <w:jc w:val="center"/>
            </w:pPr>
          </w:p>
        </w:tc>
      </w:tr>
      <w:tr w:rsidR="00453714" w14:paraId="452B9650" w14:textId="77777777">
        <w:tc>
          <w:tcPr>
            <w:tcW w:w="1771" w:type="dxa"/>
            <w:shd w:val="clear" w:color="auto" w:fill="auto"/>
          </w:tcPr>
          <w:p w14:paraId="005836F4" w14:textId="77777777" w:rsidR="00453714" w:rsidRDefault="00453714">
            <w:pPr>
              <w:jc w:val="center"/>
            </w:pPr>
          </w:p>
        </w:tc>
        <w:tc>
          <w:tcPr>
            <w:tcW w:w="1771" w:type="dxa"/>
            <w:shd w:val="clear" w:color="auto" w:fill="auto"/>
          </w:tcPr>
          <w:p w14:paraId="5340D5C1" w14:textId="77777777" w:rsidR="00453714" w:rsidRDefault="00453714">
            <w:pPr>
              <w:jc w:val="center"/>
            </w:pPr>
          </w:p>
        </w:tc>
        <w:tc>
          <w:tcPr>
            <w:tcW w:w="1246" w:type="dxa"/>
            <w:shd w:val="clear" w:color="auto" w:fill="auto"/>
          </w:tcPr>
          <w:p w14:paraId="79551FE8" w14:textId="77777777" w:rsidR="00453714" w:rsidRDefault="00453714">
            <w:pPr>
              <w:jc w:val="center"/>
            </w:pPr>
          </w:p>
        </w:tc>
        <w:tc>
          <w:tcPr>
            <w:tcW w:w="1800" w:type="dxa"/>
            <w:shd w:val="clear" w:color="auto" w:fill="auto"/>
          </w:tcPr>
          <w:p w14:paraId="51B60ADB" w14:textId="77777777" w:rsidR="00453714" w:rsidRDefault="00453714">
            <w:pPr>
              <w:jc w:val="center"/>
            </w:pPr>
          </w:p>
        </w:tc>
        <w:tc>
          <w:tcPr>
            <w:tcW w:w="1620" w:type="dxa"/>
            <w:shd w:val="clear" w:color="auto" w:fill="auto"/>
          </w:tcPr>
          <w:p w14:paraId="4FCB4BE6" w14:textId="77777777" w:rsidR="00453714" w:rsidRDefault="00453714">
            <w:pPr>
              <w:jc w:val="center"/>
            </w:pPr>
          </w:p>
        </w:tc>
      </w:tr>
      <w:tr w:rsidR="00453714" w14:paraId="4E4C3E0D" w14:textId="77777777">
        <w:tc>
          <w:tcPr>
            <w:tcW w:w="1771" w:type="dxa"/>
            <w:shd w:val="clear" w:color="auto" w:fill="auto"/>
          </w:tcPr>
          <w:p w14:paraId="34325A26" w14:textId="77777777" w:rsidR="00453714" w:rsidRDefault="00453714">
            <w:pPr>
              <w:jc w:val="center"/>
            </w:pPr>
          </w:p>
        </w:tc>
        <w:tc>
          <w:tcPr>
            <w:tcW w:w="1771" w:type="dxa"/>
            <w:shd w:val="clear" w:color="auto" w:fill="auto"/>
          </w:tcPr>
          <w:p w14:paraId="0AB92A8A" w14:textId="77777777" w:rsidR="00453714" w:rsidRDefault="00453714">
            <w:pPr>
              <w:jc w:val="center"/>
            </w:pPr>
          </w:p>
        </w:tc>
        <w:tc>
          <w:tcPr>
            <w:tcW w:w="1246" w:type="dxa"/>
            <w:shd w:val="clear" w:color="auto" w:fill="auto"/>
          </w:tcPr>
          <w:p w14:paraId="7CA1B597" w14:textId="77777777" w:rsidR="00453714" w:rsidRDefault="00453714">
            <w:pPr>
              <w:jc w:val="center"/>
            </w:pPr>
          </w:p>
        </w:tc>
        <w:tc>
          <w:tcPr>
            <w:tcW w:w="1800" w:type="dxa"/>
            <w:shd w:val="clear" w:color="auto" w:fill="auto"/>
          </w:tcPr>
          <w:p w14:paraId="62C04A4E" w14:textId="77777777" w:rsidR="00453714" w:rsidRDefault="00453714">
            <w:pPr>
              <w:jc w:val="center"/>
            </w:pPr>
          </w:p>
        </w:tc>
        <w:tc>
          <w:tcPr>
            <w:tcW w:w="1620" w:type="dxa"/>
            <w:shd w:val="clear" w:color="auto" w:fill="auto"/>
          </w:tcPr>
          <w:p w14:paraId="05EF7445" w14:textId="77777777" w:rsidR="00453714" w:rsidRDefault="00453714">
            <w:pPr>
              <w:jc w:val="center"/>
            </w:pPr>
          </w:p>
        </w:tc>
      </w:tr>
      <w:tr w:rsidR="00453714" w14:paraId="2F18A389" w14:textId="77777777">
        <w:tc>
          <w:tcPr>
            <w:tcW w:w="1771" w:type="dxa"/>
            <w:shd w:val="clear" w:color="auto" w:fill="auto"/>
          </w:tcPr>
          <w:p w14:paraId="5DF56165" w14:textId="77777777" w:rsidR="00453714" w:rsidRDefault="00453714">
            <w:pPr>
              <w:jc w:val="center"/>
            </w:pPr>
          </w:p>
        </w:tc>
        <w:tc>
          <w:tcPr>
            <w:tcW w:w="1771" w:type="dxa"/>
            <w:shd w:val="clear" w:color="auto" w:fill="auto"/>
          </w:tcPr>
          <w:p w14:paraId="29A65661" w14:textId="77777777" w:rsidR="00453714" w:rsidRDefault="00453714">
            <w:pPr>
              <w:jc w:val="center"/>
            </w:pPr>
          </w:p>
        </w:tc>
        <w:tc>
          <w:tcPr>
            <w:tcW w:w="1246" w:type="dxa"/>
            <w:shd w:val="clear" w:color="auto" w:fill="auto"/>
          </w:tcPr>
          <w:p w14:paraId="6D4C9649" w14:textId="77777777" w:rsidR="00453714" w:rsidRDefault="00453714">
            <w:pPr>
              <w:jc w:val="center"/>
            </w:pPr>
          </w:p>
        </w:tc>
        <w:tc>
          <w:tcPr>
            <w:tcW w:w="1800" w:type="dxa"/>
            <w:shd w:val="clear" w:color="auto" w:fill="auto"/>
          </w:tcPr>
          <w:p w14:paraId="2E2E6090" w14:textId="77777777" w:rsidR="00453714" w:rsidRDefault="00453714">
            <w:pPr>
              <w:jc w:val="center"/>
            </w:pPr>
          </w:p>
        </w:tc>
        <w:tc>
          <w:tcPr>
            <w:tcW w:w="1620" w:type="dxa"/>
            <w:shd w:val="clear" w:color="auto" w:fill="auto"/>
          </w:tcPr>
          <w:p w14:paraId="443B3979" w14:textId="77777777" w:rsidR="00453714" w:rsidRDefault="00453714">
            <w:pPr>
              <w:jc w:val="center"/>
            </w:pPr>
          </w:p>
        </w:tc>
      </w:tr>
      <w:tr w:rsidR="00453714" w14:paraId="258530D5" w14:textId="77777777">
        <w:tc>
          <w:tcPr>
            <w:tcW w:w="1771" w:type="dxa"/>
            <w:shd w:val="clear" w:color="auto" w:fill="auto"/>
          </w:tcPr>
          <w:p w14:paraId="5F468AAC" w14:textId="77777777" w:rsidR="00453714" w:rsidRDefault="00453714">
            <w:pPr>
              <w:jc w:val="center"/>
            </w:pPr>
          </w:p>
        </w:tc>
        <w:tc>
          <w:tcPr>
            <w:tcW w:w="1771" w:type="dxa"/>
            <w:shd w:val="clear" w:color="auto" w:fill="auto"/>
          </w:tcPr>
          <w:p w14:paraId="3042C266" w14:textId="77777777" w:rsidR="00453714" w:rsidRDefault="00453714">
            <w:pPr>
              <w:jc w:val="center"/>
            </w:pPr>
          </w:p>
        </w:tc>
        <w:tc>
          <w:tcPr>
            <w:tcW w:w="1246" w:type="dxa"/>
            <w:shd w:val="clear" w:color="auto" w:fill="auto"/>
          </w:tcPr>
          <w:p w14:paraId="0C289BB3" w14:textId="77777777" w:rsidR="00453714" w:rsidRDefault="00453714">
            <w:pPr>
              <w:jc w:val="center"/>
            </w:pPr>
          </w:p>
        </w:tc>
        <w:tc>
          <w:tcPr>
            <w:tcW w:w="1800" w:type="dxa"/>
            <w:shd w:val="clear" w:color="auto" w:fill="auto"/>
          </w:tcPr>
          <w:p w14:paraId="0CE9D0F0" w14:textId="77777777" w:rsidR="00453714" w:rsidRDefault="00453714">
            <w:pPr>
              <w:jc w:val="center"/>
            </w:pPr>
          </w:p>
        </w:tc>
        <w:tc>
          <w:tcPr>
            <w:tcW w:w="1620" w:type="dxa"/>
            <w:shd w:val="clear" w:color="auto" w:fill="auto"/>
          </w:tcPr>
          <w:p w14:paraId="01012F6E" w14:textId="77777777" w:rsidR="00453714" w:rsidRDefault="00453714">
            <w:pPr>
              <w:jc w:val="center"/>
            </w:pPr>
          </w:p>
        </w:tc>
      </w:tr>
      <w:tr w:rsidR="00453714" w14:paraId="1BD74080" w14:textId="77777777">
        <w:tc>
          <w:tcPr>
            <w:tcW w:w="1771" w:type="dxa"/>
            <w:shd w:val="clear" w:color="auto" w:fill="auto"/>
          </w:tcPr>
          <w:p w14:paraId="01AF12C2" w14:textId="77777777" w:rsidR="00453714" w:rsidRDefault="00453714">
            <w:pPr>
              <w:jc w:val="center"/>
            </w:pPr>
          </w:p>
        </w:tc>
        <w:tc>
          <w:tcPr>
            <w:tcW w:w="1771" w:type="dxa"/>
            <w:shd w:val="clear" w:color="auto" w:fill="auto"/>
          </w:tcPr>
          <w:p w14:paraId="346F3E02" w14:textId="77777777" w:rsidR="00453714" w:rsidRDefault="00453714">
            <w:pPr>
              <w:jc w:val="center"/>
            </w:pPr>
          </w:p>
        </w:tc>
        <w:tc>
          <w:tcPr>
            <w:tcW w:w="1246" w:type="dxa"/>
            <w:shd w:val="clear" w:color="auto" w:fill="auto"/>
          </w:tcPr>
          <w:p w14:paraId="2AAAA44A" w14:textId="77777777" w:rsidR="00453714" w:rsidRDefault="00453714">
            <w:pPr>
              <w:jc w:val="center"/>
            </w:pPr>
          </w:p>
        </w:tc>
        <w:tc>
          <w:tcPr>
            <w:tcW w:w="1800" w:type="dxa"/>
            <w:shd w:val="clear" w:color="auto" w:fill="auto"/>
          </w:tcPr>
          <w:p w14:paraId="6F6D7DA3" w14:textId="77777777" w:rsidR="00453714" w:rsidRDefault="00453714">
            <w:pPr>
              <w:jc w:val="center"/>
            </w:pPr>
          </w:p>
        </w:tc>
        <w:tc>
          <w:tcPr>
            <w:tcW w:w="1620" w:type="dxa"/>
            <w:shd w:val="clear" w:color="auto" w:fill="auto"/>
          </w:tcPr>
          <w:p w14:paraId="5679DB19" w14:textId="77777777" w:rsidR="00453714" w:rsidRDefault="00453714">
            <w:pPr>
              <w:jc w:val="center"/>
            </w:pPr>
          </w:p>
        </w:tc>
      </w:tr>
      <w:tr w:rsidR="00453714" w14:paraId="3477E11B" w14:textId="77777777">
        <w:tc>
          <w:tcPr>
            <w:tcW w:w="1771" w:type="dxa"/>
            <w:shd w:val="clear" w:color="auto" w:fill="auto"/>
          </w:tcPr>
          <w:p w14:paraId="2BD22FFD" w14:textId="77777777" w:rsidR="00453714" w:rsidRDefault="00453714">
            <w:pPr>
              <w:jc w:val="center"/>
            </w:pPr>
          </w:p>
        </w:tc>
        <w:tc>
          <w:tcPr>
            <w:tcW w:w="1771" w:type="dxa"/>
            <w:shd w:val="clear" w:color="auto" w:fill="auto"/>
          </w:tcPr>
          <w:p w14:paraId="3987CD4F" w14:textId="77777777" w:rsidR="00453714" w:rsidRDefault="00453714">
            <w:pPr>
              <w:jc w:val="center"/>
            </w:pPr>
          </w:p>
        </w:tc>
        <w:tc>
          <w:tcPr>
            <w:tcW w:w="1246" w:type="dxa"/>
            <w:shd w:val="clear" w:color="auto" w:fill="auto"/>
          </w:tcPr>
          <w:p w14:paraId="29DC25B8" w14:textId="77777777" w:rsidR="00453714" w:rsidRDefault="00453714">
            <w:pPr>
              <w:jc w:val="center"/>
            </w:pPr>
          </w:p>
        </w:tc>
        <w:tc>
          <w:tcPr>
            <w:tcW w:w="1800" w:type="dxa"/>
            <w:shd w:val="clear" w:color="auto" w:fill="auto"/>
          </w:tcPr>
          <w:p w14:paraId="7D9FCB66" w14:textId="77777777" w:rsidR="00453714" w:rsidRDefault="00453714">
            <w:pPr>
              <w:jc w:val="center"/>
            </w:pPr>
          </w:p>
        </w:tc>
        <w:tc>
          <w:tcPr>
            <w:tcW w:w="1620" w:type="dxa"/>
            <w:shd w:val="clear" w:color="auto" w:fill="auto"/>
          </w:tcPr>
          <w:p w14:paraId="764AF3CC" w14:textId="77777777" w:rsidR="00453714" w:rsidRDefault="00453714">
            <w:pPr>
              <w:jc w:val="center"/>
            </w:pPr>
          </w:p>
        </w:tc>
      </w:tr>
    </w:tbl>
    <w:p w14:paraId="7603965B" w14:textId="77777777" w:rsidR="00453714" w:rsidRDefault="00AD5C8C">
      <w:pPr>
        <w:pStyle w:val="1"/>
        <w:spacing w:before="480"/>
      </w:pPr>
      <w:bookmarkStart w:id="25" w:name="_Toc1639607469"/>
      <w:r>
        <w:lastRenderedPageBreak/>
        <w:t>ΠΑΡΑΡΤΗΜΑ 3: ΕΝΔΕΙΚΤΙΚΗ ΝΟΜΟΘΕΣΙΑ</w:t>
      </w:r>
      <w:bookmarkEnd w:id="22"/>
      <w:bookmarkEnd w:id="23"/>
      <w:r>
        <w:t xml:space="preserve"> </w:t>
      </w:r>
      <w:bookmarkEnd w:id="24"/>
      <w:bookmarkEnd w:id="25"/>
    </w:p>
    <w:p w14:paraId="02AC2131" w14:textId="77777777" w:rsidR="00453714" w:rsidRPr="00FE70C8" w:rsidRDefault="00AD5C8C">
      <w:pPr>
        <w:spacing w:after="60"/>
        <w:rPr>
          <w:rFonts w:asciiTheme="minorHAnsi" w:eastAsia="Arial" w:hAnsiTheme="minorHAnsi" w:cstheme="minorHAnsi"/>
          <w:b/>
        </w:rPr>
      </w:pPr>
      <w:r w:rsidRPr="00FE70C8">
        <w:rPr>
          <w:rFonts w:asciiTheme="minorHAnsi" w:eastAsia="Arial" w:hAnsiTheme="minorHAnsi" w:cstheme="minorHAnsi"/>
          <w:b/>
        </w:rPr>
        <w:t>2011 - 20</w:t>
      </w:r>
      <w:r w:rsidRPr="00FE70C8">
        <w:rPr>
          <w:rFonts w:asciiTheme="minorHAnsi" w:eastAsia="Arial" w:hAnsiTheme="minorHAnsi" w:cstheme="minorHAnsi"/>
          <w:b/>
          <w:lang w:val="en-US"/>
        </w:rPr>
        <w:t>20</w:t>
      </w:r>
    </w:p>
    <w:p w14:paraId="2081F94B" w14:textId="77777777" w:rsidR="00453714" w:rsidRDefault="00AD5C8C">
      <w:pPr>
        <w:pStyle w:val="a7"/>
        <w:numPr>
          <w:ilvl w:val="0"/>
          <w:numId w:val="4"/>
        </w:numPr>
      </w:pPr>
      <w:r>
        <w:rPr>
          <w:shd w:val="clear" w:color="auto" w:fill="FFFFFF"/>
        </w:rPr>
        <w:t>Εγκ. 13308/466/2020 Εφαρμογή του άρθρου δέκατου τρίτου της Πράξης Νομοθετικού Περιεχομένου της 20.03.2020 (ΦΕΚ 68 Α’) – Διατάξεις για την άσκηση καθηκόντων ιατρού εργασίας.</w:t>
      </w:r>
    </w:p>
    <w:p w14:paraId="35457755" w14:textId="77777777" w:rsidR="00453714" w:rsidRDefault="00AD5C8C">
      <w:pPr>
        <w:pStyle w:val="a7"/>
        <w:numPr>
          <w:ilvl w:val="0"/>
          <w:numId w:val="4"/>
        </w:numPr>
      </w:pPr>
      <w:r>
        <w:rPr>
          <w:shd w:val="clear" w:color="auto" w:fill="FFFFFF"/>
        </w:rPr>
        <w:t>Π.Ν.Π./2020 Κατεπείγοντα μέτρα για την αντιμετώπιση των συνεπειών του κινδύνου διασποράς του κορωνοϊού COVID-19, τη στήριξη της κοινωνίας και της επιχειρηματικότητας και τη διασφάλιση της ομαλής λειτουργίας της αγοράς και της δημόσιας διοίκησης, ΦΕΚ 68/Α’/20.03.2020</w:t>
      </w:r>
    </w:p>
    <w:p w14:paraId="44FFD47E" w14:textId="77777777" w:rsidR="00453714" w:rsidRDefault="00AD5C8C">
      <w:pPr>
        <w:pStyle w:val="a7"/>
        <w:numPr>
          <w:ilvl w:val="0"/>
          <w:numId w:val="4"/>
        </w:numPr>
        <w:rPr>
          <w:shd w:val="clear" w:color="auto" w:fill="FFFFFF"/>
        </w:rPr>
      </w:pPr>
      <w:r>
        <w:t xml:space="preserve">Εγκ. Οικ. 12339/404/2020 – </w:t>
      </w:r>
      <w:r>
        <w:rPr>
          <w:shd w:val="clear" w:color="auto" w:fill="FFFFFF"/>
        </w:rPr>
        <w:t>Έκτακτα και προσωρινά μέτρα στην αγορά εργασίας για την αντιμετώπιση και τον περιορισμό της διάδοσης του κορωνοϊού COVID-19.</w:t>
      </w:r>
    </w:p>
    <w:p w14:paraId="2587ACBC" w14:textId="77777777" w:rsidR="00453714" w:rsidRDefault="00AD5C8C">
      <w:pPr>
        <w:pStyle w:val="a7"/>
        <w:numPr>
          <w:ilvl w:val="0"/>
          <w:numId w:val="4"/>
        </w:numPr>
        <w:rPr>
          <w:b/>
        </w:rPr>
      </w:pPr>
      <w:r>
        <w:t>Υ.Α.Δ22/4193/2019</w:t>
      </w:r>
      <w:r>
        <w:rPr>
          <w:rStyle w:val="field-content"/>
          <w:rFonts w:ascii="Calibri" w:eastAsia="Calibri" w:hAnsi="Calibri"/>
          <w:sz w:val="22"/>
        </w:rPr>
        <w:t>  </w:t>
      </w:r>
      <w:r>
        <w:rPr>
          <w:rStyle w:val="field-content"/>
          <w:rFonts w:ascii="Calibri" w:eastAsia="Calibri" w:hAnsi="Calibri"/>
          <w:sz w:val="22"/>
          <w:shd w:val="clear" w:color="auto" w:fill="FFFFFF"/>
        </w:rPr>
        <w:t xml:space="preserve">Έγκριση εβδομήντα (70) Ελληνικών Τεχνικών Προδιαγραφών (ΕΤΕΠ), με υποχρεωτική εφαρμογή σε όλα τα Δημόσια Έργα και Μελέτες, </w:t>
      </w:r>
      <w:r>
        <w:rPr>
          <w:rStyle w:val="ab"/>
          <w:rFonts w:ascii="Calibri" w:eastAsia="Calibri" w:hAnsi="Calibri"/>
          <w:b w:val="0"/>
          <w:sz w:val="22"/>
          <w:shd w:val="clear" w:color="auto" w:fill="FFFFFF"/>
        </w:rPr>
        <w:t>ΦΕΚ 4607/Β` 13.12.2019</w:t>
      </w:r>
    </w:p>
    <w:p w14:paraId="60FA5C4C" w14:textId="77777777" w:rsidR="00453714" w:rsidRDefault="00F77599">
      <w:pPr>
        <w:pStyle w:val="a7"/>
        <w:numPr>
          <w:ilvl w:val="0"/>
          <w:numId w:val="4"/>
        </w:numPr>
        <w:spacing w:after="0" w:line="275" w:lineRule="auto"/>
        <w:contextualSpacing w:val="0"/>
      </w:pPr>
      <w:hyperlink r:id="rId9">
        <w:r w:rsidR="00AD5C8C">
          <w:rPr>
            <w:color w:val="auto"/>
          </w:rPr>
          <w:t>Υ.Α.</w:t>
        </w:r>
        <w:r w:rsidR="00AD5C8C">
          <w:t>ο</w:t>
        </w:r>
        <w:r w:rsidR="00AD5C8C">
          <w:rPr>
            <w:color w:val="auto"/>
          </w:rPr>
          <w:t>ικ.74285/176/Φ113/2018</w:t>
        </w:r>
      </w:hyperlink>
      <w:r w:rsidR="00AD5C8C">
        <w:rPr>
          <w:color w:val="auto"/>
          <w:lang w:val="en-US"/>
        </w:rPr>
        <w:t> </w:t>
      </w:r>
      <w:r w:rsidR="00AD5C8C">
        <w:rPr>
          <w:color w:val="auto"/>
        </w:rPr>
        <w:t>Τροποποίηση-συμπλήρωση της οικ. 1032/166/Φ.Γ.9.6.4 (Η)’ (Β’ 519 6-3-2013) απόφασης του Υφυπουργού Ανάπτυξης, Ανταγωνιστικότητας, Υποδομών, Μεταφορών και Δικτύων «Κατάταξη των μηχανημάτων έργου σε ειδικότητες και ομάδες, ως προς τη δραστηριότητα του χειρισμού σύμφωνα με το π.δ. 113/2012 (Α’ 198) και αντιστοίχιση των υφισταμένων αδειών που έχουν εκδοθεί σύμφωνα με το π.δ. 22/1976 (Α’ 6) ή το π.δ. 31/1990 (Α’ 11) με τις άδειες που εκδίδονται κατ’ εφαρμογή του προεδρικού αυτού διατάγματος» όπως τροποποιήθηκε και ισχύε</w:t>
      </w:r>
      <w:r w:rsidR="00AD5C8C">
        <w:t>ι, ΦΕΚ 2942/Β`/20.7.2018</w:t>
      </w:r>
    </w:p>
    <w:p w14:paraId="7FB3ABB1" w14:textId="77777777" w:rsidR="00453714" w:rsidRDefault="00F77599">
      <w:pPr>
        <w:numPr>
          <w:ilvl w:val="0"/>
          <w:numId w:val="4"/>
        </w:numPr>
        <w:spacing w:line="275" w:lineRule="auto"/>
      </w:pPr>
      <w:hyperlink r:id="rId10">
        <w:r w:rsidR="00AD5C8C">
          <w:t>Υ.Α.41320/1885/2018</w:t>
        </w:r>
      </w:hyperlink>
      <w:r w:rsidR="00AD5C8C">
        <w:rPr>
          <w:lang w:val="en-US"/>
        </w:rPr>
        <w:t> </w:t>
      </w:r>
      <w:r w:rsidR="00AD5C8C">
        <w:t>Τροποποίηση της υπουργικής απόφασης 1592/58/13.1.2017 «Ειδικός Κατάλογος ιατρών του άρθρου 16 παρ. 2 του «Κώδικα Νόμων για την Υγεία και την Ασφάλεια των εργαζομένων» (Κ.Ν.Υ.Α.Ε.), που κυρώθηκε με το άρθρο πρώτο του ν. 3850/2010 «Κύρωση του Κώδικα νόμων για την υγεία και την ασφάλεια των εργαζομένων» (ΦΕΚ Α΄ 84) όπως αυτό συμπληρώθηκε και ισχύει», ΦΕΚ 3398/Β`/10.8.2018</w:t>
      </w:r>
    </w:p>
    <w:p w14:paraId="2ACEAE92" w14:textId="77777777" w:rsidR="00453714" w:rsidRDefault="00AD5C8C">
      <w:pPr>
        <w:numPr>
          <w:ilvl w:val="0"/>
          <w:numId w:val="4"/>
        </w:numPr>
        <w:spacing w:line="275" w:lineRule="auto"/>
      </w:pPr>
      <w:r>
        <w:t>Υ.Α.οικ.74285/176/φ113/2018 Τροποποίηση-συμπλήρωση της οικ.1032/166/Φ.Γ.9.6.4 (Η)΄(Β΄΄519 6-3-2013) απόφασης του Υφυπουργού Ανάπτυξης, Ανταγωνιστικότητας, Υποδομών, Μεταφορών και Δικτύων «</w:t>
      </w:r>
      <w:r>
        <w:rPr>
          <w:color w:val="333333"/>
        </w:rPr>
        <w:t>Κατάταξη των μηχανημάτων έργου σε ειδικότητες και ομάδες, ως προς τη δραστηριότητα του χειρισμού σύμφωνα με το π.δ. 113/2012 (198/Α) και αντιστοίχιση των υφιστάμενων αδειών που έχουν εκδοθεί σύμφωνα με το π.δ. 22/1976 (6/Α) ή το π.δ. 31/1990 (11/Α) με τις άδειες που εκδίδονται κατ εφαρμογή του προεδρικού αυτού διατάγματος» όπως τροποποιήθηκε και ισχύει</w:t>
      </w:r>
    </w:p>
    <w:p w14:paraId="560BE7E3" w14:textId="77777777" w:rsidR="00453714" w:rsidRDefault="00AD5C8C">
      <w:pPr>
        <w:numPr>
          <w:ilvl w:val="0"/>
          <w:numId w:val="4"/>
        </w:numPr>
        <w:spacing w:after="75"/>
      </w:pPr>
      <w:r>
        <w:t>Υ.Α.32126/1463/2018 Τροποποίηση της υπουργικής απόφασης 50067/28/27.11.2017 «Ηλεκτρονική Βάση καταχώρισης δεδομένων Τεχνικών Ασφάλειας και διαδικασία ανάθεσης καθηκόντων Τεχνικού Ασφαλείας μέσω ΟΠΣ-ΣΕΠΕ», ΦΕΚ 2404/Β`/25.6.2018</w:t>
      </w:r>
    </w:p>
    <w:p w14:paraId="21CBC8EE" w14:textId="77777777" w:rsidR="00453714" w:rsidRPr="00540B96" w:rsidRDefault="00F77599">
      <w:pPr>
        <w:numPr>
          <w:ilvl w:val="0"/>
          <w:numId w:val="4"/>
        </w:numPr>
        <w:spacing w:after="75"/>
        <w:rPr>
          <w:color w:val="333333"/>
        </w:rPr>
      </w:pPr>
      <w:hyperlink r:id="rId11">
        <w:r w:rsidR="00AD5C8C" w:rsidRPr="00540B96">
          <w:rPr>
            <w:color w:val="333333"/>
          </w:rPr>
          <w:t>Υ.Α.111/2017/2018</w:t>
        </w:r>
      </w:hyperlink>
      <w:r w:rsidR="00AD5C8C" w:rsidRPr="00540B96">
        <w:rPr>
          <w:color w:val="333333"/>
        </w:rPr>
        <w:t>  Τροποποίηση-Συμπλήρωση της αριθμ. 3015811/2663 (ΦΕΚ 1410/Β΄/6.9.2010) κοινή υπουργική απόφαση σχετικά με τον καθορισμό μέτρων ελέγχου και κυρώσεων για την εκτέλεση του αριθμ. 1272/2008/ΕΚ κανονισμού του Ευρωπαϊκού Κοινοβουλίου και του Συμβουλίου και Κατάργηση της υπουργικής απόφασης 265/2002, (ΦΕΚ 1214/Β΄/19.9.2002) σχετικά με την ταξινόμηση, επισήμανση και συσκευασία επικίνδυνων παρασκευασμάτων και της αριθμ. 378/1994 κοινής υπουργικής απόφασης (ΦΕΚ 705/Β΄/20.9.1994) σχετικά με την ταξινόμηση, επισήμανση, συσκευασία και επικίνδυνων ουσιών, ΦΕΚ 1876/Β`/24.5.2018</w:t>
      </w:r>
    </w:p>
    <w:p w14:paraId="21E827A8" w14:textId="77777777" w:rsidR="00453714" w:rsidRDefault="00F77599">
      <w:pPr>
        <w:numPr>
          <w:ilvl w:val="0"/>
          <w:numId w:val="4"/>
        </w:numPr>
        <w:spacing w:after="75"/>
      </w:pPr>
      <w:hyperlink r:id="rId12">
        <w:r w:rsidR="00AD5C8C">
          <w:t>Υ.Α.25049/1253/2018</w:t>
        </w:r>
      </w:hyperlink>
      <w:r w:rsidR="00AD5C8C">
        <w:rPr>
          <w:lang w:val="en-US"/>
        </w:rPr>
        <w:t> </w:t>
      </w:r>
      <w:r w:rsidR="00AD5C8C">
        <w:t xml:space="preserve"> Κύρωση του ειδικού καταλόγου Ιατρών του άρθρου 16 παρ.2 του «Κώδικα Νόμων για την Υγεία και την Ασφάλεια των εργαζομένων» (Κ.Ν.Υ.Α.Ε), που κυρώθηκε με το άρθρο πρώτο του Ν. 3850/2010 «Κύρωση του Κώδικα νόμων για την υγεία και την ασφάλεια των εργαζομένων» (ΦΕΚ 84/Α) όπως αυτό συμπληρώθηκε και ισχύει, ΦΕΚ 1580/Β`/8.5.2018</w:t>
      </w:r>
    </w:p>
    <w:p w14:paraId="62461FA9" w14:textId="77777777" w:rsidR="00453714" w:rsidRDefault="00AD5C8C">
      <w:pPr>
        <w:numPr>
          <w:ilvl w:val="0"/>
          <w:numId w:val="4"/>
        </w:numPr>
        <w:spacing w:after="75"/>
      </w:pPr>
      <w:r>
        <w:t>Υ.Α.16974/758/2018 Τροποποίηση της υπουργικής απόφασης 50067/28/27.11.2017 «Ηλεκτρονική Βάση καταχώρισης δεδομένων Τεχνικών Ασφάλειας και διαδικασία ανάθεσης καθηκόντων Τεχνικού Ασφαλείας μέσω ΟΠΣ-ΣΕΠΕ», ΦΕΚ 1242/Β`/4.4.2018</w:t>
      </w:r>
    </w:p>
    <w:p w14:paraId="3739891C" w14:textId="77777777" w:rsidR="00453714" w:rsidRDefault="00AD5C8C">
      <w:pPr>
        <w:numPr>
          <w:ilvl w:val="0"/>
          <w:numId w:val="4"/>
        </w:numPr>
        <w:spacing w:after="75"/>
      </w:pPr>
      <w:r>
        <w:t>Π.Δ.82/2018</w:t>
      </w:r>
      <w:r>
        <w:rPr>
          <w:lang w:val="en-US"/>
        </w:rPr>
        <w:t> </w:t>
      </w:r>
      <w:r>
        <w:t xml:space="preserve"> Τροποποίηση του π.δ. 307/1986 «Προστασία της υγείας των εργαζομένων που εκτίθενται σε ορισμένους χημικούς παράγοντες κατά την διάρκεια της εργασίας τους» (135 Α΄) όπως έχει τροποποιηθεί και ισχύει, σε συμμόρφωση με την οδηγία 2017/164/</w:t>
      </w:r>
      <w:r>
        <w:rPr>
          <w:lang w:val="en-US"/>
        </w:rPr>
        <w:t>EE</w:t>
      </w:r>
      <w:r>
        <w:t xml:space="preserve"> της Επιτροπής (ΕΕ </w:t>
      </w:r>
      <w:r>
        <w:rPr>
          <w:lang w:val="en-US"/>
        </w:rPr>
        <w:t>L</w:t>
      </w:r>
      <w:r>
        <w:t xml:space="preserve"> 27/1.2.2017), ΦΕΚ 152/Α`/21.8.2018</w:t>
      </w:r>
    </w:p>
    <w:p w14:paraId="354DD489" w14:textId="77777777" w:rsidR="00453714" w:rsidRDefault="00AD5C8C">
      <w:pPr>
        <w:numPr>
          <w:ilvl w:val="0"/>
          <w:numId w:val="4"/>
        </w:numPr>
        <w:spacing w:after="75"/>
      </w:pPr>
      <w:r>
        <w:t>Αρ. Πρωτ. 33405/Δ9 1493/2018, ΦΕΚ --/15/6.2018 Ιατροί Εργασίας</w:t>
      </w:r>
    </w:p>
    <w:p w14:paraId="05DF4BB0" w14:textId="77777777" w:rsidR="00453714" w:rsidRDefault="00AD5C8C">
      <w:pPr>
        <w:pStyle w:val="a7"/>
        <w:numPr>
          <w:ilvl w:val="0"/>
          <w:numId w:val="4"/>
        </w:numPr>
        <w:spacing w:after="0" w:line="275" w:lineRule="auto"/>
        <w:contextualSpacing w:val="0"/>
        <w:rPr>
          <w:shd w:val="clear" w:color="auto" w:fill="FFFFFF"/>
        </w:rPr>
      </w:pPr>
      <w:r>
        <w:t>ΠΔ134/2017 «</w:t>
      </w:r>
      <w:r>
        <w:rPr>
          <w:shd w:val="clear" w:color="auto" w:fill="FFFFFF"/>
        </w:rPr>
        <w:t>Οργανισμός Υπουργείου Εργασίας, Κοινωνικής Ασφάλισης και Κοινωνικής Αλληλεγγύης, ΦΕΚ Α' 168/6-11-2017»</w:t>
      </w:r>
    </w:p>
    <w:p w14:paraId="62675017" w14:textId="77777777" w:rsidR="00453714" w:rsidRDefault="00F77599">
      <w:pPr>
        <w:numPr>
          <w:ilvl w:val="0"/>
          <w:numId w:val="4"/>
        </w:numPr>
        <w:spacing w:after="75"/>
        <w:rPr>
          <w:color w:val="333333"/>
        </w:rPr>
      </w:pPr>
      <w:hyperlink r:id="rId13">
        <w:r w:rsidR="00AD5C8C">
          <w:t>Υ.Α.50067/28/2017</w:t>
        </w:r>
      </w:hyperlink>
      <w:r w:rsidR="00AD5C8C">
        <w:rPr>
          <w:color w:val="333333"/>
        </w:rPr>
        <w:t xml:space="preserve"> Ηλεκτρονική βάση καταχώρισης δεδομένων Τεχνικών Ασφάλειας και διαδικασία ανάθεσης καθηκόντων Τεχνικού Ασφαλείας μέσω ΟΠΣ-ΣΕΠΕ, ΦΕΚ 3952/Β`/10.11.2017</w:t>
      </w:r>
    </w:p>
    <w:p w14:paraId="30786231" w14:textId="77777777" w:rsidR="00453714" w:rsidRDefault="00AD5C8C">
      <w:pPr>
        <w:numPr>
          <w:ilvl w:val="0"/>
          <w:numId w:val="4"/>
        </w:numPr>
        <w:spacing w:after="75"/>
        <w:rPr>
          <w:color w:val="333333"/>
        </w:rPr>
      </w:pPr>
      <w:r>
        <w:rPr>
          <w:color w:val="333333"/>
        </w:rPr>
        <w:t>Υ.Α. ΔΝΣγ/οικ. 38108/ΦΝ 466/2017 - Περιεχόμενο του Μητρώου Έργου, ΦΕΚ 1956/Β΄/7.6.2017</w:t>
      </w:r>
    </w:p>
    <w:p w14:paraId="155BB17E" w14:textId="77777777" w:rsidR="00453714" w:rsidRDefault="00F77599">
      <w:pPr>
        <w:numPr>
          <w:ilvl w:val="0"/>
          <w:numId w:val="4"/>
        </w:numPr>
        <w:spacing w:after="75"/>
      </w:pPr>
      <w:hyperlink r:id="rId14">
        <w:r w:rsidR="00AD5C8C">
          <w:t>Υ.Α.1865/2017</w:t>
        </w:r>
      </w:hyperlink>
      <w:r w:rsidR="00AD5C8C">
        <w:rPr>
          <w:lang w:val="en-US"/>
        </w:rPr>
        <w:t> </w:t>
      </w:r>
      <w:r w:rsidR="00AD5C8C">
        <w:t>Τροποποίηση της υπ’ αριθμ. 4229/395/2013 (Β’ 318) κοινής υπουργικής απόφασης με θέμα: «Προϋποθέσεις ίδρυσης και λειτουργίας των επιχειρήσεων που δραστηριοποιούνται με την εκτέλεση κατεδαφιστικών έργων και εργασιών αφαίρεσης αμιάντου ή/και υλικών που περιέχουν αμίαντο από κτίρια, κατασκευές, συσκευές, εγκαταστάσεις και πλοία, καθώς επίσης και με εργασίες συντήρησης, επικάλυψης και εγκλεισμού αμιάντου ή/και υλικών που περιέχουν αμίαντο», ΦΕΚ 1865/Β`/26.5.2017</w:t>
      </w:r>
    </w:p>
    <w:p w14:paraId="79B4F162" w14:textId="77777777" w:rsidR="00453714" w:rsidRDefault="00F77599">
      <w:pPr>
        <w:numPr>
          <w:ilvl w:val="0"/>
          <w:numId w:val="4"/>
        </w:numPr>
        <w:spacing w:after="75"/>
      </w:pPr>
      <w:hyperlink r:id="rId15">
        <w:r w:rsidR="00AD5C8C">
          <w:rPr>
            <w:rStyle w:val="ab"/>
            <w:rFonts w:ascii="Calibri" w:eastAsia="Calibri" w:hAnsi="Calibri"/>
            <w:b w:val="0"/>
            <w:sz w:val="22"/>
          </w:rPr>
          <w:t>Υ.Α.Οικ.52780/ΔΤΒΝ/894/Τμ. Δ/Φ.14.1/2017</w:t>
        </w:r>
      </w:hyperlink>
      <w:r w:rsidR="00AD5C8C">
        <w:t xml:space="preserve"> Τροποποίηση της κοινής υπουργικής απόφασης υπ’ αριθμ. 3329/15.2.1989 (ΦΕΚ 132/Β΄/21.2.1989) «Κανονισμοί για την παραγωγή, αποθήκευση και διάθεση σε κατανάλωση εκρηκτικών υλών», ΦΕΚ 1628/Β`/16.5.2017</w:t>
      </w:r>
    </w:p>
    <w:p w14:paraId="2D9D28CD" w14:textId="77777777" w:rsidR="00453714" w:rsidRDefault="00AD5C8C">
      <w:pPr>
        <w:numPr>
          <w:ilvl w:val="0"/>
          <w:numId w:val="4"/>
        </w:numPr>
        <w:spacing w:after="75"/>
      </w:pPr>
      <w:r>
        <w:t>Υ.Α.Οικ.21867/2016 «Όροι, προϋποθέσεις κα διαδικασίες εγκρίσεων τύπου και αδειών κυκλοφορίας που αφορούν τα Μηχανήματα Έργων (Μ.Ε.) και τα οχήματα ειδικής κατηγορίας, ΦΕΚ 3276/Β΄/12.10.2016</w:t>
      </w:r>
    </w:p>
    <w:p w14:paraId="0132FF0B" w14:textId="77777777" w:rsidR="00453714" w:rsidRDefault="00AD5C8C">
      <w:pPr>
        <w:numPr>
          <w:ilvl w:val="0"/>
          <w:numId w:val="4"/>
        </w:numPr>
        <w:spacing w:after="75"/>
      </w:pPr>
      <w:r>
        <w:t>Υ.Α.Οικ.84123/305/Φ113/2016 Τροποποίηση - συμπλήρωση της υπ’ αριθ. Οικ.1032/166/Φ.Γ.9.6.4 (Η)’ (Β’ 519 6-3-2013) απόφασης του Υφυπουργού Ανάπτυξης, Ανταγωνιστικότητας, Υποδομών, Μεταφορών και Δικτύων «Κατάταξη των μηχανημάτων έργου σε ειδικότητες και ομάδες, ως προς τη δραστηριότητα του χειρισμού σύμφωνα με το Π.δ. 113/2012 (Α’/198) και αντιστοίχιση των υφισταμένων αδειών που έχουν εκδοθεί σύμφωνα με το Π.δ. 22/1976 (Α’/6) ή το Π.δ. 31/1990 (Α’/11) με τις άδειες που εκδίδονται κατ’ εφαρμογή του Προεδρικού αυτού διατάγματος» όπως τροποποιήθηκε και ισχύει, ΦΕΚ 2481/Β`/11.8.2016</w:t>
      </w:r>
    </w:p>
    <w:p w14:paraId="1C6EEFD0" w14:textId="77777777" w:rsidR="00453714" w:rsidRDefault="00AD5C8C">
      <w:pPr>
        <w:numPr>
          <w:ilvl w:val="0"/>
          <w:numId w:val="4"/>
        </w:numPr>
        <w:spacing w:after="75"/>
      </w:pPr>
      <w:r>
        <w:t>Υ.Α.Οικ.34331/Δ9.8920/2016 «Απλούστευση διαδικασιών Σώματος Επιθεώρησης Εργασίας (Σ.ΕΠ.Ε.) μέσω του Ολοκληρωμένου Πληροφοριακού Συστήματος του Σ.ΕΠ.Ε (ΟΠΣ-ΣΕΠΕ)», ΦΕΚ 2458/Β`/10.8.2016</w:t>
      </w:r>
    </w:p>
    <w:p w14:paraId="66F2B57C" w14:textId="77777777" w:rsidR="00453714" w:rsidRDefault="00F77599">
      <w:pPr>
        <w:numPr>
          <w:ilvl w:val="0"/>
          <w:numId w:val="4"/>
        </w:numPr>
        <w:spacing w:line="275" w:lineRule="auto"/>
      </w:pPr>
      <w:hyperlink r:id="rId16">
        <w:r w:rsidR="00AD5C8C">
          <w:t>Υ.Α.Οικ.52019/ΔΤΒΝ 1152/2016</w:t>
        </w:r>
      </w:hyperlink>
      <w:r w:rsidR="00AD5C8C">
        <w:t xml:space="preserve"> Προσαρμογή της ελληνικής νομοθεσίας προς τις διατάξεις της Οδηγίας 2014/34/ΕΕ του Ευρωπαϊκού Κοινοβουλίου και του Συμβουλίου της 26ης Φεβρουαρίου 2014 για την εναρμόνιση των νομοθεσιών των κρατών μελών σχετικά με τις συσκευές και τα συστήματα προστασίας που προορίζονται για χρήση σε εκρήξιμες ατμόσφαιρες (αναδιατύπωση), ΦΕΚ 1426/Β`/20.5.2016</w:t>
      </w:r>
    </w:p>
    <w:p w14:paraId="082940DC" w14:textId="77777777" w:rsidR="00453714" w:rsidRDefault="00AD5C8C">
      <w:pPr>
        <w:pStyle w:val="a7"/>
        <w:numPr>
          <w:ilvl w:val="0"/>
          <w:numId w:val="4"/>
        </w:numPr>
        <w:jc w:val="left"/>
      </w:pPr>
      <w:r>
        <w:t>Ν4412/2016 "Δημόσιες Συμβάσεις Έργων, Προμηθειών και Υπηρεσιών (προσαρμογή στις οδηγίες 2014/24/ΕΕ και 2014/25/ΕΕ"</w:t>
      </w:r>
    </w:p>
    <w:p w14:paraId="31A9FBCF" w14:textId="77777777" w:rsidR="00453714" w:rsidRDefault="00AD5C8C">
      <w:pPr>
        <w:pStyle w:val="a7"/>
        <w:numPr>
          <w:ilvl w:val="0"/>
          <w:numId w:val="4"/>
        </w:numPr>
        <w:jc w:val="left"/>
      </w:pPr>
      <w:r>
        <w:t>Εγκ. οικ. 24120/1336/2014 - Ανακοίνωση δημοσίευσης της υ.α. με αριθ. 14867/825/2014 (1241/Β) «Απλοποίηση διαδικασιών τήρησης αρχείων για θέματα Ασφάλειας και Υγείας στην εργασία στα τεχνικά έργα»</w:t>
      </w:r>
    </w:p>
    <w:p w14:paraId="612DFD67" w14:textId="77777777" w:rsidR="00453714" w:rsidRDefault="00AD5C8C">
      <w:pPr>
        <w:pStyle w:val="a7"/>
        <w:numPr>
          <w:ilvl w:val="0"/>
          <w:numId w:val="4"/>
        </w:numPr>
        <w:jc w:val="left"/>
      </w:pPr>
      <w:r>
        <w:t>ΠΔ115/2012 «Καθορισμός ειδικοτήτων και βαθμίδων για τις επαγγελματικές δραστηριότητες: (α) της εκτέλεσης, συντήρησης, επισκευής και επιτήρησης της λειτουργίας μηχανολογικών εγκαταστάσεων σε βιομηχανίες και άλλες μονάδες, (β) του χειρισμού και της επιτήρησης ατμολεβήτων και (γ) της εκτέλεσης τεχνικού έργου και της παροχής τεχνικής υπηρεσίας για εργασίες ηλεκτροσυγκόλλησης και οξυγονοκόλλησης, καθορισμός επαγγελματικών προσόντων και προϋποθέσεων για την άσκηση των δραστηριοτήτων αυτών από φυσικά πρόσωπα και άλλες ρυθμίσεις», ΦΕΚ 200Α/12</w:t>
      </w:r>
    </w:p>
    <w:p w14:paraId="3C5F4404" w14:textId="77777777" w:rsidR="00453714" w:rsidRDefault="00AD5C8C">
      <w:pPr>
        <w:pStyle w:val="a7"/>
        <w:numPr>
          <w:ilvl w:val="0"/>
          <w:numId w:val="4"/>
        </w:numPr>
        <w:jc w:val="left"/>
      </w:pPr>
      <w:r>
        <w:t>ΠΔ114/2012 «Καθορισμός ειδικοτήτων και βαθμίδων επαγγελματικών προσόντων για την επαγγελματική δραστηριότητα της κατασκευής, συντήρησης, επισκευής και επιτήρησης της λειτουργίας των εγκαταστάσεων καύσης υγρών και αερίων καυσίμων για την παραγωγή ζεστού νερού, καθορισμός επαγγελματικών προσόντων και προϋποθέσεων για την άσκηση της δραστηριότητας αυτής από φυσικά πρόσωπα και άλλες ρυθμίσεις», ΦΕΚ 199Α/12</w:t>
      </w:r>
    </w:p>
    <w:p w14:paraId="2DC12100" w14:textId="77777777" w:rsidR="00453714" w:rsidRDefault="00AD5C8C">
      <w:pPr>
        <w:pStyle w:val="a7"/>
        <w:numPr>
          <w:ilvl w:val="0"/>
          <w:numId w:val="4"/>
        </w:numPr>
        <w:jc w:val="left"/>
      </w:pPr>
      <w:r>
        <w:t>ΠΔ113/2012 «Καθορισμός ειδικοτήτων για την επαγγελματική δραστηριότητα του χειρισμού μηχανημάτων τεχνικών έργων, καθορισμός κριτηρίων για την κατάταξη των μηχανημάτων σε ειδικότητες και ομάδες, καθορισμός επαγγελματικών προσόντων και προϋποθέσεων για την άσκηση της επαγγελματικής αυτής δραστηριότητας από φυσικά πρόσωπα και άλλες ρυθμίσεις», ΦΕΚ 198Α/12</w:t>
      </w:r>
    </w:p>
    <w:p w14:paraId="651BC4C8" w14:textId="77777777" w:rsidR="00453714" w:rsidRDefault="00AD5C8C">
      <w:pPr>
        <w:pStyle w:val="a7"/>
        <w:numPr>
          <w:ilvl w:val="0"/>
          <w:numId w:val="4"/>
        </w:numPr>
        <w:jc w:val="left"/>
      </w:pPr>
      <w:r>
        <w:t>ΠΔ112/2012 «Καθορισμός ειδικοτήτων και βαθμίδων επαγγελματικών προσόντων για την επαγγελματική δραστηριότητα της κατασκευής, συντήρησης και επισκευής υδραυλικών εγκαταστάσεων και προϋποθέσεις για την άσκηση της δραστηριότητας αυτής από φυσικά πρόσωπα», ΦΕΚ 197Α/12</w:t>
      </w:r>
    </w:p>
    <w:p w14:paraId="755906F1" w14:textId="77777777" w:rsidR="00453714" w:rsidRDefault="00AD5C8C">
      <w:pPr>
        <w:pStyle w:val="a7"/>
        <w:numPr>
          <w:ilvl w:val="0"/>
          <w:numId w:val="4"/>
        </w:numPr>
        <w:jc w:val="left"/>
      </w:pPr>
      <w:r>
        <w:t>Εγκ. 27/2012 - (Αρ. πρωτ. ΔΙΠΑΔ/οικ./369/15.10.2012) Ένταξη στα συμβατικά τεύχη (ΕΣΥ) των δημοπρατούμενων έργων, άρθρου σχετικού με τα «απαιτούμενα μέτρα ασφάλειας και υγείας στο εργοτάξιο»</w:t>
      </w:r>
    </w:p>
    <w:p w14:paraId="736C4708" w14:textId="77777777" w:rsidR="00453714" w:rsidRDefault="00AD5C8C">
      <w:pPr>
        <w:pStyle w:val="a7"/>
        <w:numPr>
          <w:ilvl w:val="0"/>
          <w:numId w:val="4"/>
        </w:numPr>
        <w:jc w:val="left"/>
      </w:pPr>
      <w:r>
        <w:t>ΕΚΓ27/ΔΙΠΑΔ/οικ/369 «Ένταξη στα συμβατικά τεύχη (ΕΣΥ) των δημοπρατούμενων έργων, άρθρου σχετικού με τα απαιτούμενα μέτρα ασφάλειας και υγείας στα εργοτάξια» 15/10/2012</w:t>
      </w:r>
    </w:p>
    <w:p w14:paraId="1BEDE4EF" w14:textId="77777777" w:rsidR="00453714" w:rsidRDefault="00AD5C8C">
      <w:pPr>
        <w:pStyle w:val="a7"/>
        <w:numPr>
          <w:ilvl w:val="0"/>
          <w:numId w:val="4"/>
        </w:numPr>
        <w:jc w:val="left"/>
      </w:pPr>
      <w:r>
        <w:t>ΕΓΚ10201/ΣΕΠΕ «Θεώρηση Σχεδίου και Φακέλου Ασφάλειας και Υγείας», 27/03/2012</w:t>
      </w:r>
    </w:p>
    <w:p w14:paraId="10747560" w14:textId="77777777" w:rsidR="00453714" w:rsidRDefault="00AD5C8C">
      <w:pPr>
        <w:pStyle w:val="a7"/>
        <w:numPr>
          <w:ilvl w:val="0"/>
          <w:numId w:val="4"/>
        </w:numPr>
        <w:jc w:val="left"/>
      </w:pPr>
      <w:r>
        <w:t>ΥΑ6690/2012 «Προϊόντα Δομικών Κατασκευών: χαρακτηριστικά, τεχνικές προδιαγραφές, διαδικασίες αξιολόγησης συμμόρφωσης και σήμανση συμμόρφωσης «CE», ΦΕΚ 1914Β/12</w:t>
      </w:r>
    </w:p>
    <w:p w14:paraId="5EC7A177" w14:textId="77777777" w:rsidR="00453714" w:rsidRDefault="00AD5C8C">
      <w:pPr>
        <w:pStyle w:val="a7"/>
        <w:numPr>
          <w:ilvl w:val="0"/>
          <w:numId w:val="4"/>
        </w:numPr>
        <w:jc w:val="left"/>
      </w:pPr>
      <w:r>
        <w:t>Ν4030/2011, «Νέος τρόπος έκδοσης αδειών δόμησης, ελέγχου κατασκευών και λοιπές διατάξεις», ΦΕΚ 249Α/11</w:t>
      </w:r>
    </w:p>
    <w:p w14:paraId="2B8A37E9" w14:textId="77777777" w:rsidR="00453714" w:rsidRDefault="00AD5C8C">
      <w:pPr>
        <w:pStyle w:val="a7"/>
        <w:numPr>
          <w:ilvl w:val="0"/>
          <w:numId w:val="4"/>
        </w:numPr>
        <w:jc w:val="left"/>
      </w:pPr>
      <w:r>
        <w:t>ΥΑ2223/2011 «Κανονισμός Μεταλλευτικών και Λατομικών Εργασιών (ΚΜΛΕ)», ΦΕΚ 1227Β/11</w:t>
      </w:r>
    </w:p>
    <w:p w14:paraId="708FABC6" w14:textId="77777777" w:rsidR="00453714" w:rsidRDefault="00AD5C8C">
      <w:pPr>
        <w:pStyle w:val="a7"/>
        <w:numPr>
          <w:ilvl w:val="0"/>
          <w:numId w:val="4"/>
        </w:numPr>
        <w:jc w:val="left"/>
      </w:pPr>
      <w:r>
        <w:lastRenderedPageBreak/>
        <w:t>ΥΑ6952/2011 «Υποχρεώσεις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 ΦΕΚ 420Β/11</w:t>
      </w:r>
    </w:p>
    <w:p w14:paraId="52BDCBBB" w14:textId="77777777" w:rsidR="00453714" w:rsidRDefault="00453714">
      <w:pPr>
        <w:pStyle w:val="a7"/>
        <w:ind w:left="360"/>
        <w:jc w:val="left"/>
      </w:pPr>
    </w:p>
    <w:p w14:paraId="563DA810" w14:textId="77777777" w:rsidR="00453714" w:rsidRPr="00FE70C8" w:rsidRDefault="00AD5C8C">
      <w:pPr>
        <w:spacing w:after="60"/>
        <w:rPr>
          <w:rFonts w:asciiTheme="minorHAnsi" w:eastAsia="Arial" w:hAnsiTheme="minorHAnsi" w:cstheme="minorHAnsi"/>
          <w:b/>
        </w:rPr>
      </w:pPr>
      <w:r w:rsidRPr="00FE70C8">
        <w:rPr>
          <w:rFonts w:asciiTheme="minorHAnsi" w:eastAsia="Arial" w:hAnsiTheme="minorHAnsi" w:cstheme="minorHAnsi"/>
          <w:b/>
        </w:rPr>
        <w:t>2006 - 2010</w:t>
      </w:r>
    </w:p>
    <w:p w14:paraId="16655391" w14:textId="77777777" w:rsidR="00453714" w:rsidRDefault="00AD5C8C">
      <w:pPr>
        <w:pStyle w:val="a7"/>
        <w:numPr>
          <w:ilvl w:val="0"/>
          <w:numId w:val="4"/>
        </w:numPr>
        <w:jc w:val="left"/>
      </w:pPr>
      <w:r>
        <w:t>Ν3850/2010 «Κύρωση του Κώδικα νόμων για την υγεία και την ασφάλεια των εργαζομένων», ΦΕΚ 84Α,  ο οποίος αντικατέστησε το Ν1568/1985 «Υγιεινή και ασφάλεια των εργαζομένων», ΦΕΚ 117Α/85 και το ΠΔ17/1996 «Μέτρα για τη βελτίωση της ασφάλειας και της υγείας των εργαζομένων σε συμμόρφωση με τις οδηγίες 89/391/ΕΟΚ και 91/383/ΕΟΚ», ΦΕΚ 11Α/96, όπως τροποποιήθηκε με το ΠΔ159/1999 (ΦΕΚ 157Α/99)</w:t>
      </w:r>
    </w:p>
    <w:p w14:paraId="4843AEC7" w14:textId="77777777" w:rsidR="00453714" w:rsidRDefault="00AD5C8C">
      <w:pPr>
        <w:pStyle w:val="a7"/>
        <w:numPr>
          <w:ilvl w:val="0"/>
          <w:numId w:val="4"/>
        </w:numPr>
        <w:jc w:val="left"/>
      </w:pPr>
      <w:r>
        <w:t>ΠΔ82/2010 «Ελάχιστες προδιαγραφές υγείας και ασφάλειας όσον αφορά στην έκθεση των εργαζομένων σε κινδύνους προερχόμενους από φυσικούς παράγοντες (τεχνητή οπτική ακτινοβολία), σε συμμόρφωση με την οδηγία 2006/25/ΕΚ», ΦΕΚ 145Α/10</w:t>
      </w:r>
    </w:p>
    <w:p w14:paraId="6794DE9C" w14:textId="77777777" w:rsidR="00453714" w:rsidRDefault="00AD5C8C">
      <w:pPr>
        <w:pStyle w:val="a7"/>
        <w:numPr>
          <w:ilvl w:val="0"/>
          <w:numId w:val="4"/>
        </w:numPr>
        <w:jc w:val="left"/>
      </w:pPr>
      <w:r>
        <w:t>ΠΔ57/2010 «Προσαρμογή της Ελληνικής Νομοθεσίας προς την Οδηγία 2006/42/ΕΚ του Ευρωπαϊκού Κοινοβουλίου και του Συμβουλίου «σχετικά με τα μηχανήματα και την τροποποίηση της οδηγίας 95/16/ΕΚ» και κατάργηση των Π.Δ. 18/96 και 377/93», ΦΕΚ 97Α, όπως τροποποιήθηκε με το ΠΔ81/2011, ΦΕΚ 197Α/10</w:t>
      </w:r>
    </w:p>
    <w:p w14:paraId="552CEA1A" w14:textId="77777777" w:rsidR="00453714" w:rsidRDefault="00AD5C8C">
      <w:pPr>
        <w:pStyle w:val="a7"/>
        <w:numPr>
          <w:ilvl w:val="0"/>
          <w:numId w:val="4"/>
        </w:numPr>
        <w:jc w:val="left"/>
      </w:pPr>
      <w:r>
        <w:t>ΥΑ21017/2009 «Όροι και προϋποθέσεις λειτουργίας των επιχειρήσεων που ασχολούνται με τις εργασίες κατεδάφισης και αφαίρεσης αμιάντου ή/και υλικών που περιέχουν αμίαντο από κτίρια, κατασκευές, συσκευές, εγκαταστάσεις και πλοία, καθώς επίσης και με τις εργασίες συντήρησης, επικάλυψης και εγκλεισμού αμιάντου ή/και υλικών που περιέχουν αμίαντο», ΦΕΚ 1287Β/09</w:t>
      </w:r>
    </w:p>
    <w:p w14:paraId="371DC2B5" w14:textId="77777777" w:rsidR="00453714" w:rsidRDefault="00AD5C8C">
      <w:pPr>
        <w:pStyle w:val="a7"/>
        <w:numPr>
          <w:ilvl w:val="0"/>
          <w:numId w:val="4"/>
        </w:numPr>
        <w:jc w:val="left"/>
      </w:pPr>
      <w:r>
        <w:t>Εγκ. 6/2008  «Διευκρινίσεις σχετικά με την εκπόνηση Σχεδίου Ασφάλειας και Υγείας (ΣΑΥ) και την κατάρτιση Φακέλου Ασφάλειας και Υγείας (ΦΑΥ) των Δημοσίων Έργων» ΦΕΚ--/31/3.2008</w:t>
      </w:r>
    </w:p>
    <w:p w14:paraId="0BC37CBD" w14:textId="77777777" w:rsidR="00453714" w:rsidRDefault="00AD5C8C">
      <w:pPr>
        <w:pStyle w:val="a7"/>
        <w:numPr>
          <w:ilvl w:val="0"/>
          <w:numId w:val="4"/>
        </w:numPr>
        <w:jc w:val="left"/>
      </w:pPr>
      <w:r>
        <w:t>ΕΓΚ6/ΔΙΠΑΔ/οικ/215 «Διευκρινήσεις σχετικά με την εκπόνηση ΣΑΥ και ΦΑΥ των Δημοσίων Έργων» 31/03/2008</w:t>
      </w:r>
    </w:p>
    <w:p w14:paraId="6595101C" w14:textId="77777777" w:rsidR="00453714" w:rsidRDefault="00AD5C8C">
      <w:pPr>
        <w:pStyle w:val="a7"/>
        <w:numPr>
          <w:ilvl w:val="0"/>
          <w:numId w:val="4"/>
        </w:numPr>
        <w:jc w:val="left"/>
      </w:pPr>
      <w:r>
        <w:t>ΠΔ162/2007 «Προστασία της υγείας των εργαζομένων που εκτίθενται σε ορισμένους χημικούς παράγοντες κατά την διάρκεια της εργασίας τους, κατά τροποποίηση του π.δ. 307/1986 όπως ισχύει, σε συμμόρφωση προς την Οδηγία 2006/15/ΕΚ», ΦΕΚ 202Α/07</w:t>
      </w:r>
    </w:p>
    <w:p w14:paraId="2297FDE1" w14:textId="77777777" w:rsidR="00453714" w:rsidRDefault="00AD5C8C">
      <w:pPr>
        <w:pStyle w:val="a7"/>
        <w:numPr>
          <w:ilvl w:val="0"/>
          <w:numId w:val="4"/>
        </w:numPr>
        <w:jc w:val="left"/>
      </w:pPr>
      <w:r>
        <w:t>ΠΔ212/2006 «Προστασία των εργαζομένων που εκτίθενται σε αμίαντο κατά την εργασία, σε συμμόρφωση με την οδηγία 83/477/ΕΟΚ του Συμβουλίου, όπως αυτή τροποποιήθηκε με την οδηγία 91/382/ΕΟΚ του Συμβουλίου και την οδηγία 2003/18/ΕΚ του Ευρωπαϊκού Κοινοβουλίου και Συμβουλίου», ΦΕΚ 212Α/06</w:t>
      </w:r>
    </w:p>
    <w:p w14:paraId="3BF3764F" w14:textId="77777777" w:rsidR="00453714" w:rsidRDefault="00AD5C8C">
      <w:pPr>
        <w:pStyle w:val="a7"/>
        <w:numPr>
          <w:ilvl w:val="0"/>
          <w:numId w:val="4"/>
        </w:numPr>
        <w:jc w:val="left"/>
      </w:pPr>
      <w:r>
        <w:t>ΠΔ149/2006 «Eλάχιστες προδιαγραφές υγείας και ασφάλειας όσον αφορά την έκθεση των εργαζομένων σε κινδύνους προερχόμενους από φυσικούς παράγοντες (θόρυβος) σε εναρμόνιση με την οδηγία 2003/10/ΕΚ», ΦΕΚ 159Α/06</w:t>
      </w:r>
    </w:p>
    <w:p w14:paraId="060E78D0" w14:textId="77777777" w:rsidR="00453714" w:rsidRDefault="00453714">
      <w:pPr>
        <w:pStyle w:val="a7"/>
        <w:jc w:val="left"/>
      </w:pPr>
    </w:p>
    <w:p w14:paraId="743D7B4E" w14:textId="77777777" w:rsidR="00453714" w:rsidRPr="00FE70C8" w:rsidRDefault="00AD5C8C">
      <w:pPr>
        <w:spacing w:after="60"/>
        <w:rPr>
          <w:rFonts w:eastAsia="Arial"/>
          <w:b/>
        </w:rPr>
      </w:pPr>
      <w:r w:rsidRPr="00FE70C8">
        <w:rPr>
          <w:rFonts w:eastAsia="Arial"/>
          <w:b/>
        </w:rPr>
        <w:t>2000 - 2005</w:t>
      </w:r>
    </w:p>
    <w:p w14:paraId="75B064EE" w14:textId="77777777" w:rsidR="00453714" w:rsidRDefault="00AD5C8C">
      <w:pPr>
        <w:pStyle w:val="a7"/>
        <w:numPr>
          <w:ilvl w:val="0"/>
          <w:numId w:val="4"/>
        </w:numPr>
        <w:jc w:val="left"/>
      </w:pPr>
      <w:r>
        <w:t>ΠΔ 176/2005 «Ελάχιστες προδιαγραφές υγείας και ασφάλειας όσον αφορά στην έκθεση εργαζομένων σε κινδύνους προερχόμενους από φυσικούς παράγοντες (κραδασμούς), σε συμμόρφωση με την Οδηγία 2002/44/ΕΚ», ΦΕΚ 227Α/05</w:t>
      </w:r>
    </w:p>
    <w:p w14:paraId="0B1CF992" w14:textId="77777777" w:rsidR="00453714" w:rsidRDefault="00AD5C8C">
      <w:pPr>
        <w:pStyle w:val="a7"/>
        <w:numPr>
          <w:ilvl w:val="0"/>
          <w:numId w:val="4"/>
        </w:numPr>
        <w:jc w:val="left"/>
      </w:pPr>
      <w:r>
        <w:t>ΚΥΑ 15085/ 15085/593/2003 «Κανονισμός Ελέγχων Ανυψωτικών Μηχανημάτων» ΦΕΚ 1186/Β'/25-8-2003</w:t>
      </w:r>
    </w:p>
    <w:p w14:paraId="719F1A4C" w14:textId="77777777" w:rsidR="00453714" w:rsidRDefault="00AD5C8C">
      <w:pPr>
        <w:pStyle w:val="a7"/>
        <w:numPr>
          <w:ilvl w:val="0"/>
          <w:numId w:val="4"/>
        </w:numPr>
        <w:jc w:val="left"/>
      </w:pPr>
      <w:r>
        <w:t>ΥΑ 502/2003 «Έγκριση Τεχνικής Προδιαγραφής Σήμανσης Εκτελούμενων Οδικών Έργων εντός και εκτός κατοικημένων περιοχών ως ελάχιστα όρια», ΦΕΚ 946/03</w:t>
      </w:r>
    </w:p>
    <w:p w14:paraId="7FC0C1A7" w14:textId="77777777" w:rsidR="00453714" w:rsidRDefault="00AD5C8C">
      <w:pPr>
        <w:pStyle w:val="a7"/>
        <w:numPr>
          <w:ilvl w:val="0"/>
          <w:numId w:val="4"/>
        </w:numPr>
        <w:jc w:val="left"/>
      </w:pPr>
      <w:r>
        <w:lastRenderedPageBreak/>
        <w:t>ΑΠ. ΔΙΠΑΔ/οικ 889/2002 «Πρόληψη και αντιμετώπιση του εργασιακού κινδύνου κατά την κατασκευή Δημοσίων Έργων», ΦΕΚ 16Β/03</w:t>
      </w:r>
    </w:p>
    <w:p w14:paraId="20D2212D" w14:textId="77777777" w:rsidR="00453714" w:rsidRDefault="00AD5C8C">
      <w:pPr>
        <w:pStyle w:val="a7"/>
        <w:numPr>
          <w:ilvl w:val="0"/>
          <w:numId w:val="4"/>
        </w:numPr>
        <w:jc w:val="left"/>
      </w:pPr>
      <w:r>
        <w:t>ΑΠ. ΔΙΠΑΔ/οικ 177/2001 «Πρόληψη εργασιακού κινδύνου κατά τη μελέτη του έργου», ΦΕΚ 266Β/01</w:t>
      </w:r>
    </w:p>
    <w:p w14:paraId="384F786A" w14:textId="77777777" w:rsidR="00453714" w:rsidRDefault="00AD5C8C">
      <w:pPr>
        <w:pStyle w:val="a7"/>
        <w:numPr>
          <w:ilvl w:val="0"/>
          <w:numId w:val="4"/>
        </w:numPr>
        <w:jc w:val="left"/>
      </w:pPr>
      <w:r>
        <w:t>ΑΠ.ΔΕΕΠΠ/οικ 85/2001 «Καθιέρωση του Σχεδίου Ασφάλειας και Υγείας (ΣΑΥ) και του Φακέλου Ασφάλειας και Υγείας (ΦΑΥ) ως απαραίτητων στοιχείων για την έγκριση μελέτης στο στάδιο της οριστικής μελέτης ή/και της μελέτης εφαρμογής σε κάθε Δημόσιο Έργο», ΦΕΚ 686Β/01</w:t>
      </w:r>
    </w:p>
    <w:p w14:paraId="5BCB55C5" w14:textId="77777777" w:rsidR="00453714" w:rsidRDefault="00AD5C8C">
      <w:pPr>
        <w:pStyle w:val="a7"/>
        <w:numPr>
          <w:ilvl w:val="0"/>
          <w:numId w:val="4"/>
        </w:numPr>
        <w:jc w:val="left"/>
      </w:pPr>
      <w:r>
        <w:t>ΑΠ. οικ 433/2000 «Καθιέρωση του Φακέλου Ασφάλειας και Υγείας (ΦΑΥ) ως απαραίτητου στοιχείου για τη προσωρινή και οριστική παραλαβή κάθε Δημόσιου Έργου», ΦΕΚ 1176Β/00</w:t>
      </w:r>
    </w:p>
    <w:p w14:paraId="22A6498C" w14:textId="77777777" w:rsidR="00453714" w:rsidRDefault="00453714">
      <w:pPr>
        <w:pStyle w:val="a7"/>
        <w:jc w:val="left"/>
      </w:pPr>
    </w:p>
    <w:p w14:paraId="606057AC" w14:textId="77777777" w:rsidR="00453714" w:rsidRDefault="00AD5C8C">
      <w:pPr>
        <w:pStyle w:val="a7"/>
        <w:ind w:left="0"/>
        <w:jc w:val="left"/>
        <w:rPr>
          <w:b/>
        </w:rPr>
      </w:pPr>
      <w:r>
        <w:rPr>
          <w:b/>
        </w:rPr>
        <w:t>Προ του 2000</w:t>
      </w:r>
    </w:p>
    <w:p w14:paraId="6B105D30" w14:textId="77777777" w:rsidR="00453714" w:rsidRDefault="00AD5C8C">
      <w:pPr>
        <w:pStyle w:val="a7"/>
        <w:numPr>
          <w:ilvl w:val="0"/>
          <w:numId w:val="4"/>
        </w:numPr>
        <w:jc w:val="left"/>
      </w:pPr>
      <w:r>
        <w:t>Ν2696/1999 «Κύρωση του Κώδικα Οδικής Κυκλοφορίας», ΦΕΚ 57Α, όπως τροποποιήθηκε με το Ν3542/07 «Τροποποιήσεις διατάξεων του Κώδικα Οδικής Κυκλοφορίας», ΦΕΚ 50Α/99</w:t>
      </w:r>
    </w:p>
    <w:p w14:paraId="6DD3F65E" w14:textId="77777777" w:rsidR="00453714" w:rsidRDefault="00AD5C8C">
      <w:pPr>
        <w:pStyle w:val="a7"/>
        <w:numPr>
          <w:ilvl w:val="0"/>
          <w:numId w:val="4"/>
        </w:numPr>
        <w:jc w:val="left"/>
      </w:pPr>
      <w:r>
        <w:t>ΠΔ 90/1999 «Καθορισμός οριακών τιμών έκθεσης και ανώτατων οριακών τιμών έκθεσης των εργαζομένων σε ορισμένους χημικούς παράγοντες κατά την διάρκεια της εργασίας τους σε συμμόρφωση με τις οδηγίες 91/322/ΕΟΚ και 96/94/ΕΚ της Επιτροπής και τροποποίηση και συμπλήρωση του π.δ. 307/86 “Προστασία της υγείας των εργαζομένων που εκτίθενται σε ορισμένους χημικούς παράγοντες κατά την διάρκεια της εργασίας τους” (135/Α) όπως τροποποιήθηκε με το π.δ. 77/93 (34/Α)» ΦEK 94/A/13-5-99</w:t>
      </w:r>
    </w:p>
    <w:p w14:paraId="779F5EC5" w14:textId="77777777" w:rsidR="00453714" w:rsidRDefault="00AD5C8C">
      <w:pPr>
        <w:pStyle w:val="a7"/>
        <w:numPr>
          <w:ilvl w:val="0"/>
          <w:numId w:val="4"/>
        </w:numPr>
        <w:jc w:val="left"/>
      </w:pPr>
      <w:r>
        <w:t>ΠΔ 17/1996  «Mέτρα για την βελτίωση της ασφάλειας και της υγείας των εργαζοµένων κατά την εργασία σε συµµόρφωση µε τις οδηγίες 89/391/EOK και 91/383/EOK», ΦEK 11/A/18-1-96)</w:t>
      </w:r>
    </w:p>
    <w:p w14:paraId="380397B0" w14:textId="77777777" w:rsidR="00453714" w:rsidRDefault="00AD5C8C">
      <w:pPr>
        <w:pStyle w:val="a7"/>
        <w:numPr>
          <w:ilvl w:val="0"/>
          <w:numId w:val="4"/>
        </w:numPr>
        <w:jc w:val="left"/>
      </w:pPr>
      <w:r>
        <w:t>ΠΔ305/1996 «Ελάχιστες προδιαγραφές ασφάλειας και υγείας που πρέπει να εφαρμόζονται στα προσωρινά ή κινητά εργοτάξια σε συμμόρφωση προς την οδηγία 92/57/ΕΟΚ», ΦΕΚ 212Α/96</w:t>
      </w:r>
    </w:p>
    <w:p w14:paraId="7CDF18F8" w14:textId="77777777" w:rsidR="00453714" w:rsidRDefault="00AD5C8C">
      <w:pPr>
        <w:pStyle w:val="a7"/>
        <w:numPr>
          <w:ilvl w:val="0"/>
          <w:numId w:val="4"/>
        </w:numPr>
        <w:jc w:val="left"/>
      </w:pPr>
      <w:r>
        <w:t>ΠΔ105/1995 «Ελάχιστες προδιαγραφές για τη σήμανση ασφάλειας ή/και υγείας στην εργασία σε συμμόρφωση με την οδηγία 92/58/ΕΟΚ», ΦΕΚ 67Α/95</w:t>
      </w:r>
    </w:p>
    <w:p w14:paraId="15CDE0BA" w14:textId="77777777" w:rsidR="00453714" w:rsidRDefault="00AD5C8C">
      <w:pPr>
        <w:pStyle w:val="a7"/>
        <w:numPr>
          <w:ilvl w:val="0"/>
          <w:numId w:val="4"/>
        </w:numPr>
        <w:jc w:val="left"/>
      </w:pPr>
      <w:r>
        <w:t>Ν2224/1994 «Ρύθμιση θεμάτων εργασίας, συνδικαλιστικών δικαιωμάτων, Υγιεινής – Ασφάλειας κλπ», ΦΕΚ 112Α/94, όπως συμπληρώθηκε με την ΥΑ 25231/10 «Κατηγοριοποίηση παραβάσεων και καθορισμός ύψους προστίμων που επιβάλλονται από τους Επιθεωρητές Εργασίας του Σώματος Επιθεώρησης Εργασίας (ΣΕΠΕ)», ΦΕΚ 2150Β/94</w:t>
      </w:r>
    </w:p>
    <w:p w14:paraId="1632F226" w14:textId="77777777" w:rsidR="00453714" w:rsidRDefault="00AD5C8C">
      <w:pPr>
        <w:pStyle w:val="a7"/>
        <w:numPr>
          <w:ilvl w:val="0"/>
          <w:numId w:val="4"/>
        </w:numPr>
        <w:jc w:val="left"/>
      </w:pPr>
      <w:r>
        <w:t>ΠΔ397/1994 «Ελάχιστες προδιαγραφές ασφάλειας και υγείας κατά τη χειρωνακτική διακίνηση φορτίων που συνεπάγεται κίνδυνο ιδίως για τη ράχη και την οσφυϊκή χώρα των εργαζομένων σε συμμόρφωση προς την οδηγία του Συμβουλίου 90/269/ΕΟΚ», ΦΕΚ 221Α/94</w:t>
      </w:r>
    </w:p>
    <w:p w14:paraId="3B806695" w14:textId="77777777" w:rsidR="00453714" w:rsidRDefault="00AD5C8C">
      <w:pPr>
        <w:pStyle w:val="a7"/>
        <w:numPr>
          <w:ilvl w:val="0"/>
          <w:numId w:val="4"/>
        </w:numPr>
        <w:jc w:val="left"/>
      </w:pPr>
      <w:r>
        <w:t>ΠΔ396/1994 «Ελάχιστες προδιαγραφές ασφάλειας και υγείας για τη χρήση από τους εργαζόμενους εξοπλισμών ατομικής προστασίας κατά την εργασία σε συμμόρφωση προς την οδηγία του Συμβουλίου 89/656/ΕΟΚ», ΦΕΚ 220Α/94</w:t>
      </w:r>
    </w:p>
    <w:p w14:paraId="47EC469C" w14:textId="77777777" w:rsidR="00453714" w:rsidRDefault="00AD5C8C">
      <w:pPr>
        <w:pStyle w:val="a7"/>
        <w:numPr>
          <w:ilvl w:val="0"/>
          <w:numId w:val="4"/>
        </w:numPr>
        <w:jc w:val="left"/>
      </w:pPr>
      <w:r>
        <w:t>ΠΔ395/1994 «Ελάχιστες προδιαγραφές ασφάλειας και υγείας για τη χρησιμοποίηση εξοπλισμού εργασίας από τους εργαζόμενους κατά την εργασία τους σε συμμόρφωση με την οδηγία του Συμβουλίου 89/655/ΕΟΚ», ΦΕΚ 220Α/94, όπως τροποποιήθηκε με τα ΠΔ89/1999 (ΦΕΚ 94Α/99) και ΠΔ304/2000 (ΦΕΚ 241Α/00) και ΠΔ155/2004 (ΦΕΚ 121Α/04).</w:t>
      </w:r>
    </w:p>
    <w:p w14:paraId="4E5D9867" w14:textId="77777777" w:rsidR="00453714" w:rsidRDefault="00AD5C8C">
      <w:pPr>
        <w:pStyle w:val="a7"/>
        <w:numPr>
          <w:ilvl w:val="0"/>
          <w:numId w:val="4"/>
        </w:numPr>
        <w:jc w:val="left"/>
      </w:pPr>
      <w:r>
        <w:t>ΠΔ77/1993 «προστασία των εργαζομένων από φυσικούς, χημικούς και βιολογικούς παράγοντες. Τροποποίηση και συμπλήρωση προς την οδηγία του συμβουλίου 88/642/ΕΟΚ», ΦΕΚ 34Α/93</w:t>
      </w:r>
    </w:p>
    <w:p w14:paraId="77AC7710" w14:textId="77777777" w:rsidR="00453714" w:rsidRDefault="00AD5C8C">
      <w:pPr>
        <w:pStyle w:val="a7"/>
        <w:numPr>
          <w:ilvl w:val="0"/>
          <w:numId w:val="4"/>
        </w:numPr>
        <w:jc w:val="left"/>
      </w:pPr>
      <w:r>
        <w:lastRenderedPageBreak/>
        <w:t>ΚΥΑ16440/1993 «Κανονισμός παραγωγής και διάθεσης στην αγορά συναρμολογούμενων μεταλλικών στοιχείων για την ασφαλή κατασκευή και χρήση μεταλλικών σκαλωσιών», ΦΕΚ 756Β/93</w:t>
      </w:r>
    </w:p>
    <w:p w14:paraId="2E60A43D" w14:textId="77777777" w:rsidR="00453714" w:rsidRDefault="00AD5C8C">
      <w:pPr>
        <w:pStyle w:val="a7"/>
        <w:numPr>
          <w:ilvl w:val="0"/>
          <w:numId w:val="4"/>
        </w:numPr>
        <w:jc w:val="left"/>
      </w:pPr>
      <w:r>
        <w:t>ΠΔ225/1989 «Υγιεινή και ασφάλεια στα υπόγεια τεχνικά έργα» ΦΕΚ 106Α/89</w:t>
      </w:r>
    </w:p>
    <w:p w14:paraId="4C8982B7" w14:textId="77777777" w:rsidR="00453714" w:rsidRDefault="00AD5C8C">
      <w:pPr>
        <w:pStyle w:val="a7"/>
        <w:numPr>
          <w:ilvl w:val="0"/>
          <w:numId w:val="4"/>
        </w:numPr>
        <w:jc w:val="left"/>
      </w:pPr>
      <w:r>
        <w:t>ΠΔ307/1986 «Προστασία της υγείας των εργαζομένων που εκτίθενται σε ορισμένους χημικούς παράγοντες κατά τη διάρκεια της εργασίας τους», ΦΕΚ 135Α, όπως τροποποιήθηκε με το ΠΔ12/2012, ΦΕΚ 19Α</w:t>
      </w:r>
    </w:p>
    <w:p w14:paraId="5268760E" w14:textId="77777777" w:rsidR="00453714" w:rsidRDefault="00AD5C8C">
      <w:pPr>
        <w:pStyle w:val="a7"/>
        <w:numPr>
          <w:ilvl w:val="0"/>
          <w:numId w:val="4"/>
        </w:numPr>
        <w:jc w:val="left"/>
      </w:pPr>
      <w:r>
        <w:t>N 1568/85 «Υγιεινή και ασφάλεια των εργαζομένων»  ΦΕΚ 177/Α/18-10-1985</w:t>
      </w:r>
    </w:p>
    <w:p w14:paraId="0C85CD2F" w14:textId="77777777" w:rsidR="00453714" w:rsidRDefault="00AD5C8C">
      <w:pPr>
        <w:pStyle w:val="a7"/>
        <w:numPr>
          <w:ilvl w:val="0"/>
          <w:numId w:val="4"/>
        </w:numPr>
        <w:jc w:val="left"/>
      </w:pPr>
      <w:r>
        <w:t>N1430/1984 «Κύρωση της αριθμ. 62 Διεθνούς Συμβάσεις Εργασίας, που αφορά τις διατάξεις ασφάλειας στην οικοδομική βιομηχανία και τη ρύθμιση θεμάτων που έχουν σχέση με αυτή», ΦΕΚ 49Α/84</w:t>
      </w:r>
    </w:p>
    <w:p w14:paraId="041D2C3D" w14:textId="77777777" w:rsidR="00453714" w:rsidRDefault="00AD5C8C">
      <w:pPr>
        <w:pStyle w:val="a7"/>
        <w:numPr>
          <w:ilvl w:val="0"/>
          <w:numId w:val="4"/>
        </w:numPr>
        <w:jc w:val="left"/>
      </w:pPr>
      <w:r>
        <w:t>ΥΑ130646/1984 «Ημερολόγιο Μέτρων Ασφάλειας», ΦΕΚ 154Β/84</w:t>
      </w:r>
    </w:p>
    <w:p w14:paraId="6E36E16C" w14:textId="77777777" w:rsidR="00453714" w:rsidRDefault="00AD5C8C">
      <w:pPr>
        <w:pStyle w:val="a7"/>
        <w:numPr>
          <w:ilvl w:val="0"/>
          <w:numId w:val="4"/>
        </w:numPr>
        <w:jc w:val="left"/>
      </w:pPr>
      <w:r>
        <w:t>Ν1396/1983 «Υποχρεώσεις λήψης και τήρησης των μέτρων ασφάλειας στις οικοδομές και λοιπά ιδιωτικά τεχνικά έργα», ΦΕΚ 126Α/83</w:t>
      </w:r>
    </w:p>
    <w:p w14:paraId="4A72CE17" w14:textId="77777777" w:rsidR="00453714" w:rsidRDefault="00AD5C8C">
      <w:pPr>
        <w:pStyle w:val="a7"/>
        <w:numPr>
          <w:ilvl w:val="0"/>
          <w:numId w:val="4"/>
        </w:numPr>
        <w:jc w:val="left"/>
      </w:pPr>
      <w:r>
        <w:t>ΠΔ1073/1981 «Περί μέτρων ασφαλείας κατά την εκτέλεσιν εργασιών εις εργοτάξια οικοδομών και πάσης φύσεως έργων αρμοδιότητος Πολιτικού Μηχανικού», ΦΕΚ 260Α/81</w:t>
      </w:r>
    </w:p>
    <w:p w14:paraId="31592AE3" w14:textId="77777777" w:rsidR="00453714" w:rsidRDefault="00AD5C8C">
      <w:pPr>
        <w:pStyle w:val="a7"/>
        <w:numPr>
          <w:ilvl w:val="0"/>
          <w:numId w:val="4"/>
        </w:numPr>
        <w:jc w:val="left"/>
      </w:pPr>
      <w:r>
        <w:t>ΠΔ778/1980 «Περί των μέτρων ασφαλείας κατά την εκτέλεσιν οικοδομικών εργασιών», ΦΕΚ 193Α/80</w:t>
      </w:r>
    </w:p>
    <w:p w14:paraId="44CF1AD6" w14:textId="77777777" w:rsidR="00453714" w:rsidRDefault="00AD5C8C">
      <w:pPr>
        <w:pStyle w:val="a7"/>
        <w:numPr>
          <w:ilvl w:val="0"/>
          <w:numId w:val="4"/>
        </w:numPr>
        <w:jc w:val="left"/>
      </w:pPr>
      <w:r>
        <w:t>ΠΔ95/1978 «Περί μέτρων υγιεινής και ασφάλειας των απασχολουμένων εις εργασίας συγκολλήσεων» ΦΕΚ 20Α/78</w:t>
      </w:r>
    </w:p>
    <w:p w14:paraId="58454B73" w14:textId="77777777" w:rsidR="00453714" w:rsidRDefault="00453714" w:rsidP="00A0406C"/>
    <w:p w14:paraId="756C4E18" w14:textId="77777777" w:rsidR="00453714" w:rsidRDefault="00AD5C8C">
      <w:pPr>
        <w:pStyle w:val="1"/>
        <w:spacing w:before="720"/>
      </w:pPr>
      <w:bookmarkStart w:id="26" w:name="_Toc259701"/>
      <w:bookmarkStart w:id="27" w:name="_Toc262085"/>
      <w:r>
        <w:br w:type="page"/>
      </w:r>
      <w:bookmarkStart w:id="28" w:name="_Toc1157485412"/>
      <w:r>
        <w:lastRenderedPageBreak/>
        <w:t>ΠΑΡΑΡΤΗΜΑ 4: ΣΗΜΑΝΣΗ</w:t>
      </w:r>
      <w:bookmarkEnd w:id="26"/>
      <w:bookmarkEnd w:id="27"/>
      <w:bookmarkEnd w:id="28"/>
    </w:p>
    <w:p w14:paraId="56FCEE52" w14:textId="77777777" w:rsidR="00453714" w:rsidRDefault="00AD5C8C">
      <w:r>
        <w:rPr>
          <w:noProof/>
        </w:rPr>
        <w:drawing>
          <wp:inline distT="0" distB="0" distL="0" distR="0" wp14:anchorId="1B8C5210" wp14:editId="7134EDED">
            <wp:extent cx="5374640" cy="1749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7"/>
                    <a:stretch>
                      <a:fillRect/>
                    </a:stretch>
                  </pic:blipFill>
                  <pic:spPr>
                    <a:xfrm>
                      <a:off x="0" y="0"/>
                      <a:ext cx="5374640" cy="1749425"/>
                    </a:xfrm>
                    <a:prstGeom prst="rect">
                      <a:avLst/>
                    </a:prstGeom>
                    <a:noFill/>
                  </pic:spPr>
                </pic:pic>
              </a:graphicData>
            </a:graphic>
          </wp:inline>
        </w:drawing>
      </w:r>
    </w:p>
    <w:p w14:paraId="404FA684" w14:textId="77777777" w:rsidR="00453714" w:rsidRDefault="00AD5C8C">
      <w:r>
        <w:rPr>
          <w:noProof/>
        </w:rPr>
        <w:drawing>
          <wp:inline distT="0" distB="0" distL="0" distR="0" wp14:anchorId="16988D31" wp14:editId="756D6072">
            <wp:extent cx="5401310" cy="26777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a:stretch>
                      <a:fillRect/>
                    </a:stretch>
                  </pic:blipFill>
                  <pic:spPr>
                    <a:xfrm>
                      <a:off x="0" y="0"/>
                      <a:ext cx="5401310" cy="2677795"/>
                    </a:xfrm>
                    <a:prstGeom prst="rect">
                      <a:avLst/>
                    </a:prstGeom>
                    <a:noFill/>
                  </pic:spPr>
                </pic:pic>
              </a:graphicData>
            </a:graphic>
          </wp:inline>
        </w:drawing>
      </w:r>
    </w:p>
    <w:p w14:paraId="4AB3F0EA" w14:textId="77777777" w:rsidR="00453714" w:rsidRDefault="00AD5C8C">
      <w:r>
        <w:rPr>
          <w:noProof/>
        </w:rPr>
        <w:drawing>
          <wp:inline distT="0" distB="0" distL="0" distR="0" wp14:anchorId="0019F8D8" wp14:editId="7F6C1AA8">
            <wp:extent cx="5410835" cy="25876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9"/>
                    <a:stretch>
                      <a:fillRect/>
                    </a:stretch>
                  </pic:blipFill>
                  <pic:spPr>
                    <a:xfrm>
                      <a:off x="0" y="0"/>
                      <a:ext cx="5410835" cy="2587625"/>
                    </a:xfrm>
                    <a:prstGeom prst="rect">
                      <a:avLst/>
                    </a:prstGeom>
                    <a:noFill/>
                  </pic:spPr>
                </pic:pic>
              </a:graphicData>
            </a:graphic>
          </wp:inline>
        </w:drawing>
      </w:r>
    </w:p>
    <w:p w14:paraId="742E2E7A" w14:textId="77777777" w:rsidR="00453714" w:rsidRDefault="00AD5C8C">
      <w:r>
        <w:rPr>
          <w:noProof/>
        </w:rPr>
        <w:lastRenderedPageBreak/>
        <w:drawing>
          <wp:inline distT="0" distB="0" distL="0" distR="0" wp14:anchorId="714794F8" wp14:editId="622AD1F9">
            <wp:extent cx="5381625" cy="2363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0"/>
                    <a:stretch>
                      <a:fillRect/>
                    </a:stretch>
                  </pic:blipFill>
                  <pic:spPr>
                    <a:xfrm>
                      <a:off x="0" y="0"/>
                      <a:ext cx="5381625" cy="2363470"/>
                    </a:xfrm>
                    <a:prstGeom prst="rect">
                      <a:avLst/>
                    </a:prstGeom>
                    <a:noFill/>
                  </pic:spPr>
                </pic:pic>
              </a:graphicData>
            </a:graphic>
          </wp:inline>
        </w:drawing>
      </w:r>
    </w:p>
    <w:p w14:paraId="2AB9E69F" w14:textId="77777777" w:rsidR="00453714" w:rsidRDefault="00AD5C8C">
      <w:r>
        <w:rPr>
          <w:noProof/>
        </w:rPr>
        <w:drawing>
          <wp:inline distT="0" distB="0" distL="0" distR="0" wp14:anchorId="1FC61C3E" wp14:editId="0E3647C0">
            <wp:extent cx="5405120" cy="25317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1"/>
                    <a:stretch>
                      <a:fillRect/>
                    </a:stretch>
                  </pic:blipFill>
                  <pic:spPr>
                    <a:xfrm>
                      <a:off x="0" y="0"/>
                      <a:ext cx="5405120" cy="2531745"/>
                    </a:xfrm>
                    <a:prstGeom prst="rect">
                      <a:avLst/>
                    </a:prstGeom>
                    <a:noFill/>
                  </pic:spPr>
                </pic:pic>
              </a:graphicData>
            </a:graphic>
          </wp:inline>
        </w:drawing>
      </w:r>
    </w:p>
    <w:p w14:paraId="38D1359B" w14:textId="77777777" w:rsidR="00453714" w:rsidRDefault="00AD5C8C">
      <w:r>
        <w:rPr>
          <w:noProof/>
        </w:rPr>
        <w:drawing>
          <wp:inline distT="0" distB="0" distL="0" distR="0" wp14:anchorId="536B4054" wp14:editId="548FBD77">
            <wp:extent cx="5422265" cy="25317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2"/>
                    <a:stretch>
                      <a:fillRect/>
                    </a:stretch>
                  </pic:blipFill>
                  <pic:spPr>
                    <a:xfrm>
                      <a:off x="0" y="0"/>
                      <a:ext cx="5422265" cy="2531745"/>
                    </a:xfrm>
                    <a:prstGeom prst="rect">
                      <a:avLst/>
                    </a:prstGeom>
                    <a:noFill/>
                  </pic:spPr>
                </pic:pic>
              </a:graphicData>
            </a:graphic>
          </wp:inline>
        </w:drawing>
      </w:r>
    </w:p>
    <w:p w14:paraId="4D025EF6" w14:textId="77777777" w:rsidR="00453714" w:rsidRDefault="00453714"/>
    <w:p w14:paraId="6F01F388" w14:textId="77777777" w:rsidR="00453714" w:rsidRDefault="00453714"/>
    <w:sectPr w:rsidR="00453714" w:rsidSect="00F531A3">
      <w:footerReference w:type="default" r:id="rId23"/>
      <w:pgSz w:w="12240" w:h="15840"/>
      <w:pgMar w:top="1440" w:right="1800" w:bottom="1440" w:left="1800"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6C9E1" w14:textId="77777777" w:rsidR="00453714" w:rsidRDefault="00AD5C8C">
      <w:r>
        <w:separator/>
      </w:r>
    </w:p>
  </w:endnote>
  <w:endnote w:type="continuationSeparator" w:id="0">
    <w:p w14:paraId="315CEF6A" w14:textId="77777777" w:rsidR="00453714" w:rsidRDefault="00AD5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261C9" w14:textId="77777777" w:rsidR="00453714" w:rsidRDefault="00AD5C8C">
    <w:pPr>
      <w:pStyle w:val="a6"/>
      <w:jc w:val="right"/>
    </w:pPr>
    <w:r>
      <w:t xml:space="preserve">Σελίδα </w:t>
    </w:r>
    <w:r>
      <w:fldChar w:fldCharType="begin"/>
    </w:r>
    <w:r>
      <w:instrText xml:space="preserve"> PAGE </w:instrText>
    </w:r>
    <w:r>
      <w:fldChar w:fldCharType="separate"/>
    </w:r>
    <w:r>
      <w:t>#</w:t>
    </w:r>
    <w:r>
      <w:fldChar w:fldCharType="end"/>
    </w:r>
    <w:r>
      <w:t xml:space="preserve"> από </w:t>
    </w:r>
    <w:r w:rsidR="00F77599">
      <w:fldChar w:fldCharType="begin"/>
    </w:r>
    <w:r w:rsidR="00F77599">
      <w:instrText xml:space="preserve"> NUMPAGES </w:instrText>
    </w:r>
    <w:r w:rsidR="00F77599">
      <w:fldChar w:fldCharType="separate"/>
    </w:r>
    <w:r>
      <w:t>#</w:t>
    </w:r>
    <w:r w:rsidR="00F7759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46E1A" w14:textId="77777777" w:rsidR="00453714" w:rsidRDefault="00AD5C8C">
      <w:r>
        <w:separator/>
      </w:r>
    </w:p>
  </w:footnote>
  <w:footnote w:type="continuationSeparator" w:id="0">
    <w:p w14:paraId="1EEE98DD" w14:textId="77777777" w:rsidR="00453714" w:rsidRDefault="00AD5C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DEF8C"/>
    <w:multiLevelType w:val="hybridMultilevel"/>
    <w:tmpl w:val="EB4681BA"/>
    <w:lvl w:ilvl="0" w:tplc="304AFA74">
      <w:start w:val="1"/>
      <w:numFmt w:val="bullet"/>
      <w:lvlText w:val="·"/>
      <w:lvlJc w:val="left"/>
      <w:pPr>
        <w:ind w:left="360" w:hanging="360"/>
      </w:pPr>
      <w:rPr>
        <w:rFonts w:ascii="Symbol" w:eastAsia="Symbol" w:hAnsi="Symbol"/>
        <w:color w:val="000000"/>
        <w:sz w:val="22"/>
      </w:rPr>
    </w:lvl>
    <w:lvl w:ilvl="1" w:tplc="614318BB">
      <w:start w:val="1"/>
      <w:numFmt w:val="bullet"/>
      <w:lvlText w:val="o"/>
      <w:lvlJc w:val="left"/>
      <w:pPr>
        <w:ind w:left="1080" w:hanging="360"/>
      </w:pPr>
      <w:rPr>
        <w:rFonts w:ascii="Symbol" w:eastAsia="Symbol" w:hAnsi="Symbol"/>
        <w:color w:val="000000"/>
        <w:sz w:val="22"/>
      </w:rPr>
    </w:lvl>
    <w:lvl w:ilvl="2" w:tplc="14992881">
      <w:start w:val="1"/>
      <w:numFmt w:val="bullet"/>
      <w:lvlText w:val="·"/>
      <w:lvlJc w:val="left"/>
      <w:pPr>
        <w:ind w:left="1800" w:hanging="360"/>
      </w:pPr>
      <w:rPr>
        <w:rFonts w:ascii="Symbol" w:eastAsia="Symbol" w:hAnsi="Symbol"/>
        <w:color w:val="000000"/>
        <w:sz w:val="22"/>
      </w:rPr>
    </w:lvl>
    <w:lvl w:ilvl="3" w:tplc="7341AFB9">
      <w:start w:val="1"/>
      <w:numFmt w:val="bullet"/>
      <w:lvlText w:val="o"/>
      <w:lvlJc w:val="left"/>
      <w:pPr>
        <w:ind w:left="2520" w:hanging="360"/>
      </w:pPr>
      <w:rPr>
        <w:rFonts w:ascii="Symbol" w:eastAsia="Symbol" w:hAnsi="Symbol"/>
        <w:color w:val="000000"/>
        <w:sz w:val="22"/>
      </w:rPr>
    </w:lvl>
    <w:lvl w:ilvl="4" w:tplc="7EA667F6">
      <w:start w:val="1"/>
      <w:numFmt w:val="bullet"/>
      <w:lvlText w:val="·"/>
      <w:lvlJc w:val="left"/>
      <w:pPr>
        <w:ind w:left="3240" w:hanging="360"/>
      </w:pPr>
      <w:rPr>
        <w:rFonts w:ascii="Symbol" w:eastAsia="Symbol" w:hAnsi="Symbol"/>
        <w:color w:val="000000"/>
        <w:sz w:val="22"/>
      </w:rPr>
    </w:lvl>
    <w:lvl w:ilvl="5" w:tplc="11368BD3">
      <w:start w:val="1"/>
      <w:numFmt w:val="bullet"/>
      <w:lvlText w:val="o"/>
      <w:lvlJc w:val="left"/>
      <w:pPr>
        <w:ind w:left="3960" w:hanging="360"/>
      </w:pPr>
      <w:rPr>
        <w:rFonts w:ascii="Symbol" w:eastAsia="Symbol" w:hAnsi="Symbol"/>
        <w:color w:val="000000"/>
        <w:sz w:val="22"/>
      </w:rPr>
    </w:lvl>
    <w:lvl w:ilvl="6" w:tplc="1E928006">
      <w:start w:val="1"/>
      <w:numFmt w:val="bullet"/>
      <w:lvlText w:val="·"/>
      <w:lvlJc w:val="left"/>
      <w:pPr>
        <w:ind w:left="4680" w:hanging="360"/>
      </w:pPr>
      <w:rPr>
        <w:rFonts w:ascii="Symbol" w:eastAsia="Symbol" w:hAnsi="Symbol"/>
        <w:color w:val="000000"/>
        <w:sz w:val="22"/>
      </w:rPr>
    </w:lvl>
    <w:lvl w:ilvl="7" w:tplc="73C24DE4">
      <w:start w:val="1"/>
      <w:numFmt w:val="bullet"/>
      <w:lvlText w:val="o"/>
      <w:lvlJc w:val="left"/>
      <w:pPr>
        <w:ind w:left="5400" w:hanging="360"/>
      </w:pPr>
      <w:rPr>
        <w:rFonts w:ascii="Symbol" w:eastAsia="Symbol" w:hAnsi="Symbol"/>
        <w:color w:val="000000"/>
        <w:sz w:val="22"/>
      </w:rPr>
    </w:lvl>
    <w:lvl w:ilvl="8" w:tplc="15C8E245">
      <w:start w:val="1"/>
      <w:numFmt w:val="bullet"/>
      <w:lvlText w:val="·"/>
      <w:lvlJc w:val="left"/>
      <w:pPr>
        <w:ind w:left="6120" w:hanging="360"/>
      </w:pPr>
      <w:rPr>
        <w:rFonts w:ascii="Symbol" w:eastAsia="Symbol" w:hAnsi="Symbol"/>
        <w:color w:val="000000"/>
        <w:sz w:val="22"/>
      </w:rPr>
    </w:lvl>
  </w:abstractNum>
  <w:abstractNum w:abstractNumId="1" w15:restartNumberingAfterBreak="0">
    <w:nsid w:val="2581F3F1"/>
    <w:multiLevelType w:val="hybridMultilevel"/>
    <w:tmpl w:val="84D8FC8C"/>
    <w:lvl w:ilvl="0" w:tplc="46917D15">
      <w:start w:val="1"/>
      <w:numFmt w:val="bullet"/>
      <w:lvlText w:val="·"/>
      <w:lvlJc w:val="left"/>
      <w:pPr>
        <w:ind w:left="360" w:hanging="360"/>
      </w:pPr>
      <w:rPr>
        <w:rFonts w:ascii="Symbol" w:eastAsia="Symbol" w:hAnsi="Symbol"/>
        <w:color w:val="000000"/>
        <w:sz w:val="22"/>
      </w:rPr>
    </w:lvl>
    <w:lvl w:ilvl="1" w:tplc="5357BC46">
      <w:start w:val="1"/>
      <w:numFmt w:val="bullet"/>
      <w:lvlText w:val="o"/>
      <w:lvlJc w:val="left"/>
      <w:pPr>
        <w:ind w:left="1080" w:hanging="360"/>
      </w:pPr>
      <w:rPr>
        <w:rFonts w:ascii="Symbol" w:eastAsia="Symbol" w:hAnsi="Symbol"/>
        <w:color w:val="000000"/>
        <w:sz w:val="22"/>
      </w:rPr>
    </w:lvl>
    <w:lvl w:ilvl="2" w:tplc="63BF6451">
      <w:start w:val="1"/>
      <w:numFmt w:val="bullet"/>
      <w:lvlText w:val="·"/>
      <w:lvlJc w:val="left"/>
      <w:pPr>
        <w:ind w:left="1800" w:hanging="360"/>
      </w:pPr>
      <w:rPr>
        <w:rFonts w:ascii="Symbol" w:eastAsia="Symbol" w:hAnsi="Symbol"/>
        <w:color w:val="000000"/>
        <w:sz w:val="22"/>
      </w:rPr>
    </w:lvl>
    <w:lvl w:ilvl="3" w:tplc="748EE4C3">
      <w:start w:val="1"/>
      <w:numFmt w:val="bullet"/>
      <w:lvlText w:val="o"/>
      <w:lvlJc w:val="left"/>
      <w:pPr>
        <w:ind w:left="2520" w:hanging="360"/>
      </w:pPr>
      <w:rPr>
        <w:rFonts w:ascii="Symbol" w:eastAsia="Symbol" w:hAnsi="Symbol"/>
        <w:color w:val="000000"/>
        <w:sz w:val="22"/>
      </w:rPr>
    </w:lvl>
    <w:lvl w:ilvl="4" w:tplc="40BBC718">
      <w:start w:val="1"/>
      <w:numFmt w:val="bullet"/>
      <w:lvlText w:val="·"/>
      <w:lvlJc w:val="left"/>
      <w:pPr>
        <w:ind w:left="3240" w:hanging="360"/>
      </w:pPr>
      <w:rPr>
        <w:rFonts w:ascii="Symbol" w:eastAsia="Symbol" w:hAnsi="Symbol"/>
        <w:color w:val="000000"/>
        <w:sz w:val="22"/>
      </w:rPr>
    </w:lvl>
    <w:lvl w:ilvl="5" w:tplc="6EC9514E">
      <w:start w:val="1"/>
      <w:numFmt w:val="bullet"/>
      <w:lvlText w:val="o"/>
      <w:lvlJc w:val="left"/>
      <w:pPr>
        <w:ind w:left="3960" w:hanging="360"/>
      </w:pPr>
      <w:rPr>
        <w:rFonts w:ascii="Symbol" w:eastAsia="Symbol" w:hAnsi="Symbol"/>
        <w:color w:val="000000"/>
        <w:sz w:val="22"/>
      </w:rPr>
    </w:lvl>
    <w:lvl w:ilvl="6" w:tplc="5255928D">
      <w:start w:val="1"/>
      <w:numFmt w:val="bullet"/>
      <w:lvlText w:val="·"/>
      <w:lvlJc w:val="left"/>
      <w:pPr>
        <w:ind w:left="4680" w:hanging="360"/>
      </w:pPr>
      <w:rPr>
        <w:rFonts w:ascii="Symbol" w:eastAsia="Symbol" w:hAnsi="Symbol"/>
        <w:color w:val="000000"/>
        <w:sz w:val="22"/>
      </w:rPr>
    </w:lvl>
    <w:lvl w:ilvl="7" w:tplc="31BADF77">
      <w:start w:val="1"/>
      <w:numFmt w:val="bullet"/>
      <w:lvlText w:val="o"/>
      <w:lvlJc w:val="left"/>
      <w:pPr>
        <w:ind w:left="5400" w:hanging="360"/>
      </w:pPr>
      <w:rPr>
        <w:rFonts w:ascii="Symbol" w:eastAsia="Symbol" w:hAnsi="Symbol"/>
        <w:color w:val="000000"/>
        <w:sz w:val="22"/>
      </w:rPr>
    </w:lvl>
    <w:lvl w:ilvl="8" w:tplc="6DE77639">
      <w:start w:val="1"/>
      <w:numFmt w:val="bullet"/>
      <w:lvlText w:val="·"/>
      <w:lvlJc w:val="left"/>
      <w:pPr>
        <w:ind w:left="6120" w:hanging="360"/>
      </w:pPr>
      <w:rPr>
        <w:rFonts w:ascii="Symbol" w:eastAsia="Symbol" w:hAnsi="Symbol"/>
        <w:color w:val="000000"/>
        <w:sz w:val="22"/>
      </w:rPr>
    </w:lvl>
  </w:abstractNum>
  <w:abstractNum w:abstractNumId="2" w15:restartNumberingAfterBreak="0">
    <w:nsid w:val="523F0C81"/>
    <w:multiLevelType w:val="multilevel"/>
    <w:tmpl w:val="5E960D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5DD1A580"/>
    <w:multiLevelType w:val="multilevel"/>
    <w:tmpl w:val="FA2CEE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7698E99F"/>
    <w:multiLevelType w:val="hybridMultilevel"/>
    <w:tmpl w:val="8348C216"/>
    <w:lvl w:ilvl="0" w:tplc="30D4FC10">
      <w:start w:val="1"/>
      <w:numFmt w:val="bullet"/>
      <w:lvlText w:val="·"/>
      <w:lvlJc w:val="left"/>
      <w:pPr>
        <w:ind w:left="360" w:hanging="360"/>
      </w:pPr>
      <w:rPr>
        <w:rFonts w:ascii="Symbol" w:eastAsia="Symbol" w:hAnsi="Symbol"/>
        <w:color w:val="000000"/>
        <w:sz w:val="22"/>
      </w:rPr>
    </w:lvl>
    <w:lvl w:ilvl="1" w:tplc="00F0EC2F">
      <w:start w:val="1"/>
      <w:numFmt w:val="bullet"/>
      <w:lvlText w:val="o"/>
      <w:lvlJc w:val="left"/>
      <w:pPr>
        <w:ind w:left="1080" w:hanging="360"/>
      </w:pPr>
      <w:rPr>
        <w:rFonts w:ascii="Symbol" w:eastAsia="Symbol" w:hAnsi="Symbol"/>
        <w:color w:val="000000"/>
        <w:sz w:val="22"/>
      </w:rPr>
    </w:lvl>
    <w:lvl w:ilvl="2" w:tplc="1E6354D2">
      <w:start w:val="1"/>
      <w:numFmt w:val="bullet"/>
      <w:lvlText w:val="·"/>
      <w:lvlJc w:val="left"/>
      <w:pPr>
        <w:ind w:left="1800" w:hanging="360"/>
      </w:pPr>
      <w:rPr>
        <w:rFonts w:ascii="Symbol" w:eastAsia="Symbol" w:hAnsi="Symbol"/>
        <w:color w:val="000000"/>
        <w:sz w:val="22"/>
      </w:rPr>
    </w:lvl>
    <w:lvl w:ilvl="3" w:tplc="0330C6FD">
      <w:start w:val="1"/>
      <w:numFmt w:val="bullet"/>
      <w:lvlText w:val="o"/>
      <w:lvlJc w:val="left"/>
      <w:pPr>
        <w:ind w:left="2520" w:hanging="360"/>
      </w:pPr>
      <w:rPr>
        <w:rFonts w:ascii="Symbol" w:eastAsia="Symbol" w:hAnsi="Symbol"/>
        <w:color w:val="000000"/>
        <w:sz w:val="22"/>
      </w:rPr>
    </w:lvl>
    <w:lvl w:ilvl="4" w:tplc="6F9632A3">
      <w:start w:val="1"/>
      <w:numFmt w:val="bullet"/>
      <w:lvlText w:val="·"/>
      <w:lvlJc w:val="left"/>
      <w:pPr>
        <w:ind w:left="3240" w:hanging="360"/>
      </w:pPr>
      <w:rPr>
        <w:rFonts w:ascii="Symbol" w:eastAsia="Symbol" w:hAnsi="Symbol"/>
        <w:color w:val="000000"/>
        <w:sz w:val="22"/>
      </w:rPr>
    </w:lvl>
    <w:lvl w:ilvl="5" w:tplc="45DE8D24">
      <w:start w:val="1"/>
      <w:numFmt w:val="bullet"/>
      <w:lvlText w:val="o"/>
      <w:lvlJc w:val="left"/>
      <w:pPr>
        <w:ind w:left="3960" w:hanging="360"/>
      </w:pPr>
      <w:rPr>
        <w:rFonts w:ascii="Symbol" w:eastAsia="Symbol" w:hAnsi="Symbol"/>
        <w:color w:val="000000"/>
        <w:sz w:val="22"/>
      </w:rPr>
    </w:lvl>
    <w:lvl w:ilvl="6" w:tplc="24308290">
      <w:start w:val="1"/>
      <w:numFmt w:val="bullet"/>
      <w:lvlText w:val="·"/>
      <w:lvlJc w:val="left"/>
      <w:pPr>
        <w:ind w:left="4680" w:hanging="360"/>
      </w:pPr>
      <w:rPr>
        <w:rFonts w:ascii="Symbol" w:eastAsia="Symbol" w:hAnsi="Symbol"/>
        <w:color w:val="000000"/>
        <w:sz w:val="22"/>
      </w:rPr>
    </w:lvl>
    <w:lvl w:ilvl="7" w:tplc="24B02295">
      <w:start w:val="1"/>
      <w:numFmt w:val="bullet"/>
      <w:lvlText w:val="o"/>
      <w:lvlJc w:val="left"/>
      <w:pPr>
        <w:ind w:left="5400" w:hanging="360"/>
      </w:pPr>
      <w:rPr>
        <w:rFonts w:ascii="Symbol" w:eastAsia="Symbol" w:hAnsi="Symbol"/>
        <w:color w:val="000000"/>
        <w:sz w:val="22"/>
      </w:rPr>
    </w:lvl>
    <w:lvl w:ilvl="8" w:tplc="69452758">
      <w:start w:val="1"/>
      <w:numFmt w:val="bullet"/>
      <w:lvlText w:val="·"/>
      <w:lvlJc w:val="left"/>
      <w:pPr>
        <w:ind w:left="6120" w:hanging="360"/>
      </w:pPr>
      <w:rPr>
        <w:rFonts w:ascii="Symbol" w:eastAsia="Symbol" w:hAnsi="Symbol"/>
        <w:color w:val="000000"/>
        <w:sz w:val="22"/>
      </w:rPr>
    </w:lvl>
  </w:abstractNum>
  <w:num w:numId="1" w16cid:durableId="2091925848">
    <w:abstractNumId w:val="2"/>
  </w:num>
  <w:num w:numId="2" w16cid:durableId="138767495">
    <w:abstractNumId w:val="4"/>
  </w:num>
  <w:num w:numId="3" w16cid:durableId="2073310810">
    <w:abstractNumId w:val="0"/>
  </w:num>
  <w:num w:numId="4" w16cid:durableId="2026133634">
    <w:abstractNumId w:val="1"/>
  </w:num>
  <w:num w:numId="5" w16cid:durableId="1249288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20"/>
  <w:characterSpacingControl w:val="doNotCompress"/>
  <w:footnotePr>
    <w:footnote w:id="-1"/>
    <w:footnote w:id="0"/>
  </w:footnotePr>
  <w:endnotePr>
    <w:endnote w:id="-1"/>
    <w:endnote w:id="0"/>
  </w:endnotePr>
  <w:compat>
    <w:splitPgBreakAndParaMark/>
    <w:doNotBreakConstrainedForcedTable/>
    <w:compatSetting w:name="compatibilityMode" w:uri="http://schemas.microsoft.com/office/word" w:val="11"/>
    <w:compatSetting w:name="useWord2013TrackBottomHyphenation" w:uri="http://schemas.microsoft.com/office/word" w:val="1"/>
  </w:compat>
  <w:rsids>
    <w:rsidRoot w:val="00453714"/>
    <w:rsid w:val="00071F3F"/>
    <w:rsid w:val="00293B26"/>
    <w:rsid w:val="002E3CBB"/>
    <w:rsid w:val="00384E7F"/>
    <w:rsid w:val="003972BE"/>
    <w:rsid w:val="00453714"/>
    <w:rsid w:val="004D5601"/>
    <w:rsid w:val="004F11B3"/>
    <w:rsid w:val="00540B96"/>
    <w:rsid w:val="005B2BB6"/>
    <w:rsid w:val="0068481A"/>
    <w:rsid w:val="00711B25"/>
    <w:rsid w:val="009612DA"/>
    <w:rsid w:val="00A0406C"/>
    <w:rsid w:val="00AD5C8C"/>
    <w:rsid w:val="00AF60A8"/>
    <w:rsid w:val="00C40D52"/>
    <w:rsid w:val="00F531A3"/>
    <w:rsid w:val="00F77599"/>
    <w:rsid w:val="00FE70C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BB8A9F4"/>
  <w15:docId w15:val="{660847DD-EE79-4551-927C-0E4B88502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960" w:after="120"/>
      <w:ind w:left="357" w:hanging="357"/>
      <w:outlineLvl w:val="0"/>
    </w:pPr>
    <w:rPr>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next w:val="a"/>
    <w:link w:val="Char"/>
    <w:rPr>
      <w:sz w:val="20"/>
    </w:rPr>
  </w:style>
  <w:style w:type="paragraph" w:styleId="a4">
    <w:name w:val="endnote text"/>
    <w:next w:val="a"/>
    <w:link w:val="Char0"/>
    <w:uiPriority w:val="99"/>
    <w:rPr>
      <w:sz w:val="20"/>
    </w:rPr>
  </w:style>
  <w:style w:type="paragraph" w:styleId="a5">
    <w:name w:val="header"/>
    <w:basedOn w:val="a"/>
    <w:next w:val="a"/>
    <w:pPr>
      <w:jc w:val="both"/>
    </w:pPr>
    <w:rPr>
      <w:rFonts w:ascii="Arial" w:eastAsia="Arial" w:hAnsi="Arial"/>
      <w:color w:val="000000"/>
      <w:sz w:val="24"/>
    </w:rPr>
  </w:style>
  <w:style w:type="paragraph" w:styleId="a6">
    <w:name w:val="footer"/>
    <w:basedOn w:val="a"/>
    <w:next w:val="a"/>
    <w:pPr>
      <w:tabs>
        <w:tab w:val="center" w:pos="4320"/>
        <w:tab w:val="right" w:pos="8640"/>
      </w:tabs>
      <w:jc w:val="both"/>
    </w:pPr>
    <w:rPr>
      <w:color w:val="000000"/>
    </w:rPr>
  </w:style>
  <w:style w:type="paragraph" w:styleId="10">
    <w:name w:val="toc 1"/>
    <w:basedOn w:val="a"/>
    <w:next w:val="a"/>
    <w:pPr>
      <w:tabs>
        <w:tab w:val="left" w:pos="440"/>
        <w:tab w:val="right" w:pos="8630"/>
      </w:tabs>
      <w:spacing w:before="360"/>
      <w:jc w:val="both"/>
    </w:pPr>
    <w:rPr>
      <w:caps/>
      <w:color w:val="000000"/>
      <w:sz w:val="24"/>
    </w:rPr>
  </w:style>
  <w:style w:type="paragraph" w:styleId="a7">
    <w:name w:val="List Paragraph"/>
    <w:basedOn w:val="a"/>
    <w:next w:val="a"/>
    <w:pPr>
      <w:spacing w:after="120"/>
      <w:ind w:left="720"/>
      <w:contextualSpacing/>
      <w:jc w:val="both"/>
    </w:pPr>
    <w:rPr>
      <w:color w:val="000000"/>
    </w:rPr>
  </w:style>
  <w:style w:type="paragraph" w:styleId="a8">
    <w:name w:val="Body Text"/>
    <w:basedOn w:val="a"/>
    <w:next w:val="a"/>
    <w:pPr>
      <w:widowControl w:val="0"/>
      <w:ind w:left="520" w:hanging="360"/>
    </w:pPr>
    <w:rPr>
      <w:rFonts w:eastAsia="Times New Roman"/>
    </w:rPr>
  </w:style>
  <w:style w:type="paragraph" w:styleId="a9">
    <w:name w:val="TOC Heading"/>
    <w:basedOn w:val="1"/>
    <w:next w:val="a"/>
    <w:pPr>
      <w:spacing w:after="0"/>
    </w:pPr>
    <w:rPr>
      <w:b w:val="0"/>
      <w:color w:val="2E75B5"/>
      <w:sz w:val="22"/>
      <w:lang w:val="en-US"/>
    </w:rPr>
  </w:style>
  <w:style w:type="character" w:styleId="aa">
    <w:name w:val="line number"/>
    <w:basedOn w:val="a0"/>
    <w:semiHidden/>
  </w:style>
  <w:style w:type="character" w:styleId="-">
    <w:name w:val="Hyperlink"/>
    <w:rPr>
      <w:color w:val="0000FF"/>
      <w:u w:val="single"/>
    </w:rPr>
  </w:style>
  <w:style w:type="character" w:styleId="ab">
    <w:name w:val="Strong"/>
    <w:rPr>
      <w:rFonts w:ascii="Times New Roman" w:eastAsia="Times New Roman" w:hAnsi="Times New Roman"/>
      <w:b/>
      <w:sz w:val="24"/>
    </w:rPr>
  </w:style>
  <w:style w:type="character" w:styleId="ac">
    <w:name w:val="footnote reference"/>
    <w:rPr>
      <w:vertAlign w:val="superscript"/>
    </w:rPr>
  </w:style>
  <w:style w:type="character" w:customStyle="1" w:styleId="Char">
    <w:name w:val="Κείμενο υποσημείωσης Char"/>
    <w:link w:val="a3"/>
    <w:rPr>
      <w:rFonts w:ascii="Calibri" w:eastAsia="Calibri" w:hAnsi="Calibri" w:cs="Calibri"/>
      <w:b w:val="0"/>
      <w:i w:val="0"/>
      <w:caps w:val="0"/>
      <w:smallCaps w:val="0"/>
      <w:strike w:val="0"/>
      <w:snapToGrid/>
      <w:vanish w:val="0"/>
      <w:color w:val="auto"/>
      <w:spacing w:val="0"/>
      <w:w w:val="100"/>
      <w:position w:val="0"/>
      <w:sz w:val="20"/>
      <w:u w:val="none"/>
      <w:shd w:val="clear" w:color="auto" w:fill="auto"/>
      <w:vertAlign w:val="baseline"/>
    </w:rPr>
  </w:style>
  <w:style w:type="character" w:styleId="ad">
    <w:name w:val="endnote reference"/>
    <w:rPr>
      <w:vertAlign w:val="superscript"/>
    </w:rPr>
  </w:style>
  <w:style w:type="character" w:customStyle="1" w:styleId="Char0">
    <w:name w:val="Κείμενο σημείωσης τέλους Char"/>
    <w:link w:val="a4"/>
    <w:uiPriority w:val="99"/>
    <w:rPr>
      <w:rFonts w:ascii="Calibri" w:eastAsia="Calibri" w:hAnsi="Calibri" w:cs="Calibri"/>
      <w:b w:val="0"/>
      <w:i w:val="0"/>
      <w:caps w:val="0"/>
      <w:smallCaps w:val="0"/>
      <w:strike w:val="0"/>
      <w:snapToGrid/>
      <w:vanish w:val="0"/>
      <w:color w:val="auto"/>
      <w:spacing w:val="0"/>
      <w:w w:val="100"/>
      <w:position w:val="0"/>
      <w:sz w:val="20"/>
      <w:u w:val="none"/>
      <w:shd w:val="clear" w:color="auto" w:fill="auto"/>
      <w:vertAlign w:val="baseline"/>
    </w:rPr>
  </w:style>
  <w:style w:type="character" w:customStyle="1" w:styleId="field-content">
    <w:name w:val="field-content"/>
    <w:basedOn w:val="a0"/>
    <w:rPr>
      <w:rFonts w:ascii="Times New Roman" w:eastAsia="Times New Roman" w:hAnsi="Times New Roman"/>
      <w:sz w:val="24"/>
    </w:rPr>
  </w:style>
  <w:style w:type="table" w:styleId="1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e">
    <w:name w:val="Table Grid"/>
    <w:basedOn w:val="a1"/>
    <w:uiPriority w:val="39"/>
    <w:rsid w:val="009612DA"/>
    <w:pPr>
      <w:jc w:val="both"/>
    </w:pPr>
    <w:rPr>
      <w:kern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412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elinyae.gr/el/item_details.jsp?cat_id=2&amp;item_id=12662"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emf"/><Relationship Id="rId12" Type="http://schemas.openxmlformats.org/officeDocument/2006/relationships/hyperlink" Target="http://www.elinyae.gr/el/item_details.jsp?cat_id=2&amp;item_id=12923"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elinyae.gr/el/item_details.jsp?cat_id=690&amp;item_id=11630" TargetMode="External"/><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inyae.gr/el/item_details.jsp?cat_id=2&amp;item_id=1296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elinyae.gr/el/item_details.jsp?cat_id=2&amp;item_id=12323" TargetMode="External"/><Relationship Id="rId23" Type="http://schemas.openxmlformats.org/officeDocument/2006/relationships/footer" Target="footer1.xml"/><Relationship Id="rId10" Type="http://schemas.openxmlformats.org/officeDocument/2006/relationships/hyperlink" Target="http://www.elinyae.gr/el/item_details.jsp?cat_id=2&amp;item_id=13113"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www.elinyae.gr/el/item_details.jsp?cat_id=2542&amp;item_id=13102" TargetMode="External"/><Relationship Id="rId14" Type="http://schemas.openxmlformats.org/officeDocument/2006/relationships/hyperlink" Target="http://www.elinyae.gr/el/item_details.jsp?cat_id=2&amp;item_id=12363" TargetMode="External"/><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16</Pages>
  <Words>4302</Words>
  <Characters>23236</Characters>
  <Application>Microsoft Office Word</Application>
  <DocSecurity>0</DocSecurity>
  <Lines>193</Lines>
  <Paragraphs>54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Lykartsis Dimitrios</dc:creator>
  <cp:lastModifiedBy>ES_technical1@developattica.gr</cp:lastModifiedBy>
  <cp:revision>54</cp:revision>
  <cp:lastPrinted>2022-02-17T07:54:00Z</cp:lastPrinted>
  <dcterms:created xsi:type="dcterms:W3CDTF">2019-05-16T12:28:00Z</dcterms:created>
  <dcterms:modified xsi:type="dcterms:W3CDTF">2022-06-07T15:46:00Z</dcterms:modified>
</cp:coreProperties>
</file>