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470970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470970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D64BBB">
        <w:rPr>
          <w:rFonts w:ascii="Tahoma" w:hAnsi="Tahoma" w:cs="Tahoma"/>
          <w:b/>
          <w:sz w:val="22"/>
          <w:szCs w:val="22"/>
        </w:rPr>
        <w:t>10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69296A" w:rsidRDefault="008F77AD" w:rsidP="0091106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69296A">
        <w:rPr>
          <w:rFonts w:ascii="Tahoma" w:hAnsi="Tahoma" w:cs="Tahoma"/>
          <w:b/>
          <w:sz w:val="22"/>
          <w:szCs w:val="22"/>
        </w:rPr>
        <w:t>17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69296A">
        <w:rPr>
          <w:rFonts w:ascii="Tahoma" w:hAnsi="Tahoma" w:cs="Tahoma"/>
          <w:b/>
          <w:sz w:val="22"/>
          <w:szCs w:val="22"/>
        </w:rPr>
        <w:t>6</w:t>
      </w:r>
      <w:r w:rsidR="00470970" w:rsidRPr="00D64BBB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69296A" w:rsidRPr="0069296A">
        <w:rPr>
          <w:rFonts w:ascii="Tahoma" w:hAnsi="Tahoma" w:cs="Tahoma"/>
          <w:b/>
          <w:sz w:val="22"/>
          <w:szCs w:val="22"/>
        </w:rPr>
        <w:t>Δεκεμβρίου</w:t>
      </w:r>
      <w:r w:rsidR="00470970" w:rsidRPr="0069296A">
        <w:rPr>
          <w:rFonts w:ascii="Tahoma" w:hAnsi="Tahoma" w:cs="Tahoma"/>
          <w:b/>
          <w:sz w:val="22"/>
          <w:szCs w:val="22"/>
        </w:rPr>
        <w:t xml:space="preserve"> </w:t>
      </w:r>
      <w:r w:rsidR="00E24BE3" w:rsidRPr="0069296A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69296A">
        <w:rPr>
          <w:rFonts w:ascii="Tahoma" w:hAnsi="Tahoma" w:cs="Tahoma"/>
          <w:b/>
          <w:sz w:val="22"/>
          <w:szCs w:val="22"/>
        </w:rPr>
        <w:t>20</w:t>
      </w:r>
      <w:r w:rsidR="00800350" w:rsidRPr="0069296A">
        <w:rPr>
          <w:rFonts w:ascii="Tahoma" w:hAnsi="Tahoma" w:cs="Tahoma"/>
          <w:b/>
          <w:sz w:val="22"/>
          <w:szCs w:val="22"/>
        </w:rPr>
        <w:t>2</w:t>
      </w:r>
      <w:r w:rsidR="00E11312" w:rsidRPr="0069296A">
        <w:rPr>
          <w:rFonts w:ascii="Tahoma" w:hAnsi="Tahoma" w:cs="Tahoma"/>
          <w:b/>
          <w:sz w:val="22"/>
          <w:szCs w:val="22"/>
        </w:rPr>
        <w:t>1</w:t>
      </w: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D32EAE" w:rsidRPr="00800350" w:rsidRDefault="00D32EAE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04444D" w:rsidRDefault="0004444D" w:rsidP="0091106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Default="0004444D" w:rsidP="0091106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p w:rsidR="00D32EAE" w:rsidRPr="00F25EA5" w:rsidRDefault="00D32EAE" w:rsidP="0091106B">
      <w:pPr>
        <w:ind w:right="-694"/>
        <w:rPr>
          <w:rFonts w:ascii="Tahoma" w:hAnsi="Tahoma" w:cs="Tahoma"/>
          <w:sz w:val="22"/>
          <w:szCs w:val="22"/>
        </w:rPr>
      </w:pP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AD10BF" w:rsidRDefault="00495A5E" w:rsidP="00CC1388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BB6A6B" w:rsidRPr="00AD10BF" w:rsidRDefault="00BB6A6B" w:rsidP="0004444D">
      <w:pPr>
        <w:ind w:right="-694"/>
        <w:rPr>
          <w:rFonts w:ascii="Tahoma" w:hAnsi="Tahoma" w:cs="Tahoma"/>
          <w:sz w:val="22"/>
          <w:szCs w:val="22"/>
        </w:rPr>
      </w:pPr>
    </w:p>
    <w:p w:rsidR="0069296A" w:rsidRPr="000C01DD" w:rsidRDefault="0069296A" w:rsidP="0069296A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Pr="000C01DD">
        <w:rPr>
          <w:rFonts w:ascii="Tahoma" w:hAnsi="Tahoma" w:cs="Tahoma"/>
          <w:sz w:val="22"/>
          <w:szCs w:val="22"/>
        </w:rPr>
        <w:t xml:space="preserve">6η του μήνα Δεκεμβρίου του έτους 2021 ημέρα Δευτέρα και ώρα 14:00 πμ. συνεδρίασε η ΔΕΠ, η οποία </w:t>
      </w:r>
      <w:r w:rsidRPr="000C01D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0C01D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0C01D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0C01D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0C01DD">
        <w:rPr>
          <w:rFonts w:ascii="Tahoma" w:hAnsi="Tahoma" w:cs="Tahoma"/>
          <w:sz w:val="22"/>
          <w:szCs w:val="22"/>
        </w:rPr>
        <w:t>πρωτ</w:t>
      </w:r>
      <w:proofErr w:type="spellEnd"/>
      <w:r w:rsidRPr="000C01DD">
        <w:rPr>
          <w:rFonts w:ascii="Tahoma" w:hAnsi="Tahoma" w:cs="Tahoma"/>
          <w:sz w:val="22"/>
          <w:szCs w:val="22"/>
        </w:rPr>
        <w:t xml:space="preserve">. </w:t>
      </w:r>
      <w:r w:rsidRPr="000C01DD">
        <w:rPr>
          <w:rFonts w:ascii="Tahoma" w:hAnsi="Tahoma" w:cs="Tahoma"/>
          <w:b/>
          <w:sz w:val="22"/>
          <w:szCs w:val="22"/>
        </w:rPr>
        <w:t>19432/2021</w:t>
      </w:r>
      <w:r w:rsidRPr="000C01DD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BB6A6B" w:rsidRPr="00AD10BF" w:rsidRDefault="00BB6A6B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D64BBB">
      <w:pPr>
        <w:ind w:left="1134" w:hanging="1134"/>
        <w:jc w:val="both"/>
        <w:rPr>
          <w:rFonts w:ascii="Calibri" w:hAnsi="Calibri" w:cs="Calibri"/>
          <w:b/>
        </w:rPr>
      </w:pPr>
      <w:r w:rsidRPr="00AD10BF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FA72FF">
        <w:rPr>
          <w:rFonts w:ascii="Tahoma" w:hAnsi="Tahoma" w:cs="Tahoma"/>
          <w:b/>
          <w:sz w:val="22"/>
          <w:szCs w:val="22"/>
          <w:u w:val="single"/>
        </w:rPr>
        <w:t>2</w:t>
      </w:r>
      <w:r w:rsidRPr="00AD10BF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AD10BF">
        <w:rPr>
          <w:rFonts w:ascii="Tahoma" w:hAnsi="Tahoma" w:cs="Tahoma"/>
          <w:b/>
          <w:sz w:val="22"/>
          <w:szCs w:val="22"/>
          <w:u w:val="single"/>
        </w:rPr>
        <w:t>:</w:t>
      </w:r>
      <w:r w:rsidRPr="00AD10BF">
        <w:rPr>
          <w:rFonts w:ascii="Tahoma" w:hAnsi="Tahoma" w:cs="Tahoma"/>
          <w:bCs/>
          <w:sz w:val="22"/>
          <w:szCs w:val="22"/>
        </w:rPr>
        <w:t xml:space="preserve"> </w:t>
      </w:r>
      <w:r w:rsidR="002543AA">
        <w:rPr>
          <w:rFonts w:ascii="Tahoma" w:hAnsi="Tahoma" w:cs="Tahoma"/>
          <w:bCs/>
          <w:sz w:val="22"/>
          <w:szCs w:val="22"/>
        </w:rPr>
        <w:t xml:space="preserve"> </w:t>
      </w:r>
      <w:r w:rsidR="00D64BBB" w:rsidRPr="00215BAD">
        <w:rPr>
          <w:rFonts w:ascii="Tahoma" w:hAnsi="Tahoma" w:cs="Tahoma"/>
          <w:sz w:val="22"/>
          <w:szCs w:val="22"/>
        </w:rPr>
        <w:t>«</w:t>
      </w:r>
      <w:r w:rsidR="00FA72FF">
        <w:rPr>
          <w:rFonts w:ascii="Tahoma" w:hAnsi="Tahoma" w:cs="Tahoma"/>
          <w:sz w:val="22"/>
          <w:szCs w:val="22"/>
        </w:rPr>
        <w:t xml:space="preserve">Συμπληρωματική </w:t>
      </w:r>
      <w:r w:rsidR="00D64BBB" w:rsidRPr="00215BAD">
        <w:rPr>
          <w:rFonts w:ascii="Tahoma" w:hAnsi="Tahoma" w:cs="Tahoma"/>
          <w:sz w:val="22"/>
          <w:szCs w:val="22"/>
        </w:rPr>
        <w:t xml:space="preserve">Επιχορήγηση σχολικών Επιτροπών για κάλυψη λειτουργικών δαπανών των  σχολικών τους μονάδων </w:t>
      </w:r>
      <w:r w:rsidR="00FA72FF">
        <w:rPr>
          <w:rFonts w:ascii="Tahoma" w:hAnsi="Tahoma" w:cs="Tahoma"/>
          <w:sz w:val="22"/>
          <w:szCs w:val="22"/>
        </w:rPr>
        <w:t>έτους 20</w:t>
      </w:r>
      <w:r w:rsidR="00D64BBB">
        <w:rPr>
          <w:rFonts w:ascii="Tahoma" w:hAnsi="Tahoma" w:cs="Tahoma"/>
          <w:sz w:val="22"/>
          <w:szCs w:val="22"/>
        </w:rPr>
        <w:t>2</w:t>
      </w:r>
      <w:r w:rsidR="00D64BBB" w:rsidRPr="002A4546">
        <w:rPr>
          <w:rFonts w:ascii="Tahoma" w:hAnsi="Tahoma" w:cs="Tahoma"/>
          <w:sz w:val="22"/>
          <w:szCs w:val="22"/>
        </w:rPr>
        <w:t>1</w:t>
      </w:r>
      <w:r w:rsidR="00D64BBB" w:rsidRPr="00215BAD">
        <w:rPr>
          <w:rFonts w:ascii="Tahoma" w:hAnsi="Tahoma" w:cs="Tahoma"/>
          <w:bCs/>
          <w:sz w:val="22"/>
          <w:szCs w:val="22"/>
        </w:rPr>
        <w:t>».</w:t>
      </w:r>
      <w:r w:rsidR="00D64BBB" w:rsidRPr="00F85E11">
        <w:rPr>
          <w:rFonts w:ascii="Arial" w:hAnsi="Arial" w:cs="Arial"/>
          <w:b/>
        </w:rPr>
        <w:t xml:space="preserve"> </w:t>
      </w:r>
      <w:r w:rsidR="00D64BBB" w:rsidRPr="00F85E11">
        <w:rPr>
          <w:rFonts w:ascii="Calibri" w:hAnsi="Calibri" w:cs="Calibri"/>
          <w:b/>
        </w:rPr>
        <w:t xml:space="preserve"> </w:t>
      </w:r>
    </w:p>
    <w:p w:rsidR="00D64BBB" w:rsidRPr="00AD10BF" w:rsidRDefault="00D64BBB" w:rsidP="00D64BBB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FA72FF" w:rsidRPr="00FD241E" w:rsidRDefault="00FA72FF" w:rsidP="00FA72FF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FA72FF" w:rsidRPr="00EB7643" w:rsidRDefault="00FA72FF" w:rsidP="00FA72FF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FA72FF" w:rsidRPr="00CE6C32" w:rsidRDefault="00FA72FF" w:rsidP="00FA72FF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>
        <w:rPr>
          <w:rFonts w:ascii="Tahoma" w:hAnsi="Tahoma" w:cs="Tahoma"/>
          <w:sz w:val="22"/>
          <w:szCs w:val="22"/>
        </w:rPr>
        <w:t>85940</w:t>
      </w:r>
      <w:r w:rsidRPr="001324E4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22-11</w:t>
      </w:r>
      <w:r w:rsidRPr="001324E4">
        <w:rPr>
          <w:rFonts w:ascii="Tahoma" w:hAnsi="Tahoma" w:cs="Tahoma"/>
          <w:sz w:val="22"/>
          <w:szCs w:val="22"/>
        </w:rPr>
        <w:t>-20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</w:t>
      </w:r>
      <w:r>
        <w:rPr>
          <w:rFonts w:ascii="Tahoma" w:hAnsi="Tahoma" w:cs="Tahoma"/>
          <w:sz w:val="22"/>
          <w:szCs w:val="22"/>
        </w:rPr>
        <w:t xml:space="preserve">συμπληρωματική </w:t>
      </w:r>
      <w:r w:rsidRPr="002601C2">
        <w:rPr>
          <w:rFonts w:ascii="Tahoma" w:hAnsi="Tahoma" w:cs="Tahoma"/>
          <w:sz w:val="22"/>
          <w:szCs w:val="22"/>
        </w:rPr>
        <w:t xml:space="preserve">κατανομή ποσού </w:t>
      </w:r>
      <w:r>
        <w:rPr>
          <w:rFonts w:ascii="Tahoma" w:hAnsi="Tahoma" w:cs="Tahoma"/>
          <w:sz w:val="22"/>
          <w:szCs w:val="22"/>
        </w:rPr>
        <w:t>7</w:t>
      </w:r>
      <w:r w:rsidRPr="002601C2">
        <w:rPr>
          <w:rFonts w:ascii="Tahoma" w:hAnsi="Tahoma" w:cs="Tahoma"/>
          <w:sz w:val="22"/>
          <w:szCs w:val="22"/>
        </w:rPr>
        <w:t>.000.000,00 ευρώ από τους Κεντρικούς Αυτοτελείς Πόρους έτους</w:t>
      </w:r>
      <w:r>
        <w:rPr>
          <w:rFonts w:ascii="Tahoma" w:hAnsi="Tahoma" w:cs="Tahoma"/>
          <w:sz w:val="22"/>
          <w:szCs w:val="22"/>
        </w:rPr>
        <w:t xml:space="preserve">  </w:t>
      </w:r>
      <w:r w:rsidRPr="002601C2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>,  σε Δήμους της χώρας, για την κάλυψη λειτουργικών δαπανών των σχολικών τους μονάδων.</w:t>
      </w:r>
    </w:p>
    <w:p w:rsidR="00CE6C32" w:rsidRPr="002601C2" w:rsidRDefault="00CE6C32" w:rsidP="00CE6C32">
      <w:pPr>
        <w:pStyle w:val="a5"/>
        <w:ind w:left="425"/>
        <w:jc w:val="both"/>
        <w:rPr>
          <w:rFonts w:ascii="Tahoma" w:hAnsi="Tahoma" w:cs="Tahoma"/>
          <w:sz w:val="22"/>
          <w:szCs w:val="22"/>
        </w:rPr>
      </w:pPr>
    </w:p>
    <w:p w:rsidR="00FA72FF" w:rsidRPr="00CE6C32" w:rsidRDefault="00FA72FF" w:rsidP="00FA72F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CE6C32">
        <w:rPr>
          <w:rFonts w:ascii="Tahoma" w:hAnsi="Tahoma" w:cs="Tahoma"/>
          <w:sz w:val="22"/>
          <w:szCs w:val="22"/>
        </w:rPr>
        <w:t xml:space="preserve">Την υπ’ αριθ. </w:t>
      </w:r>
      <w:r w:rsidR="00F94695" w:rsidRPr="00F94695">
        <w:rPr>
          <w:rFonts w:ascii="Tahoma" w:hAnsi="Tahoma" w:cs="Tahoma"/>
          <w:sz w:val="22"/>
          <w:szCs w:val="22"/>
        </w:rPr>
        <w:t>103565</w:t>
      </w:r>
      <w:r w:rsidRPr="00CE6C32">
        <w:rPr>
          <w:rFonts w:ascii="Tahoma" w:hAnsi="Tahoma" w:cs="Tahoma"/>
          <w:sz w:val="22"/>
          <w:szCs w:val="22"/>
        </w:rPr>
        <w:t>/2</w:t>
      </w:r>
      <w:r w:rsidR="00F94695" w:rsidRPr="00F94695">
        <w:rPr>
          <w:rFonts w:ascii="Tahoma" w:hAnsi="Tahoma" w:cs="Tahoma"/>
          <w:sz w:val="22"/>
          <w:szCs w:val="22"/>
        </w:rPr>
        <w:t>5</w:t>
      </w:r>
      <w:r w:rsidRPr="00CE6C32">
        <w:rPr>
          <w:rFonts w:ascii="Tahoma" w:hAnsi="Tahoma" w:cs="Tahoma"/>
          <w:sz w:val="22"/>
          <w:szCs w:val="22"/>
        </w:rPr>
        <w:t>-</w:t>
      </w:r>
      <w:r w:rsidR="00F94695" w:rsidRPr="00F94695">
        <w:rPr>
          <w:rFonts w:ascii="Tahoma" w:hAnsi="Tahoma" w:cs="Tahoma"/>
          <w:sz w:val="22"/>
          <w:szCs w:val="22"/>
        </w:rPr>
        <w:t>11</w:t>
      </w:r>
      <w:r w:rsidRPr="00CE6C32">
        <w:rPr>
          <w:rFonts w:ascii="Tahoma" w:hAnsi="Tahoma" w:cs="Tahoma"/>
          <w:sz w:val="22"/>
          <w:szCs w:val="22"/>
        </w:rPr>
        <w:t xml:space="preserve">-21 αναγγελία πίστωσης ποσού </w:t>
      </w:r>
      <w:r w:rsidR="0012781C" w:rsidRPr="00CE6C32">
        <w:rPr>
          <w:rFonts w:ascii="Tahoma" w:hAnsi="Tahoma" w:cs="Tahoma"/>
          <w:sz w:val="22"/>
          <w:szCs w:val="22"/>
        </w:rPr>
        <w:t>21.545</w:t>
      </w:r>
      <w:r w:rsidRPr="00CE6C32">
        <w:rPr>
          <w:rFonts w:ascii="Tahoma" w:hAnsi="Tahoma" w:cs="Tahoma"/>
          <w:sz w:val="22"/>
          <w:szCs w:val="22"/>
        </w:rPr>
        <w:t>,</w:t>
      </w:r>
      <w:r w:rsidRPr="00F94695">
        <w:rPr>
          <w:rFonts w:ascii="Tahoma" w:hAnsi="Tahoma" w:cs="Tahoma"/>
          <w:sz w:val="22"/>
          <w:szCs w:val="22"/>
        </w:rPr>
        <w:t xml:space="preserve">00 (μείον </w:t>
      </w:r>
      <w:r w:rsidR="00F94695" w:rsidRPr="00F94695">
        <w:rPr>
          <w:rFonts w:ascii="Tahoma" w:hAnsi="Tahoma" w:cs="Tahoma"/>
          <w:sz w:val="22"/>
          <w:szCs w:val="22"/>
        </w:rPr>
        <w:t>32</w:t>
      </w:r>
      <w:r w:rsidR="007F68FC" w:rsidRPr="007F68FC">
        <w:rPr>
          <w:rFonts w:ascii="Tahoma" w:hAnsi="Tahoma" w:cs="Tahoma"/>
          <w:sz w:val="22"/>
          <w:szCs w:val="22"/>
        </w:rPr>
        <w:t>,</w:t>
      </w:r>
      <w:r w:rsidR="00F94695" w:rsidRPr="00F94695">
        <w:rPr>
          <w:rFonts w:ascii="Tahoma" w:hAnsi="Tahoma" w:cs="Tahoma"/>
          <w:sz w:val="22"/>
          <w:szCs w:val="22"/>
        </w:rPr>
        <w:t>32</w:t>
      </w:r>
      <w:r w:rsidRPr="00F94695">
        <w:rPr>
          <w:rFonts w:ascii="Tahoma" w:hAnsi="Tahoma" w:cs="Tahoma"/>
          <w:sz w:val="22"/>
          <w:szCs w:val="22"/>
        </w:rPr>
        <w:t xml:space="preserve"> ευρώ) προμήθεια Τ.Π.Δ., καθαρό υπόλοιπο για κατανομή </w:t>
      </w:r>
      <w:r w:rsidR="00F94695" w:rsidRPr="00F94695">
        <w:rPr>
          <w:rFonts w:ascii="Tahoma" w:hAnsi="Tahoma" w:cs="Tahoma"/>
          <w:sz w:val="22"/>
          <w:szCs w:val="22"/>
        </w:rPr>
        <w:t>21.512.68</w:t>
      </w:r>
      <w:r w:rsidRPr="00F94695">
        <w:rPr>
          <w:rFonts w:ascii="Tahoma" w:hAnsi="Tahoma" w:cs="Tahoma"/>
          <w:sz w:val="22"/>
          <w:szCs w:val="22"/>
        </w:rPr>
        <w:t xml:space="preserve"> ευρώ στα δύ</w:t>
      </w:r>
      <w:r w:rsidRPr="00CE6C32">
        <w:rPr>
          <w:rFonts w:ascii="Tahoma" w:hAnsi="Tahoma" w:cs="Tahoma"/>
          <w:sz w:val="22"/>
          <w:szCs w:val="22"/>
        </w:rPr>
        <w:t>ο Ν.Π.Δ.Δ. Σχολικών Επιτροπών του Δήμου Μοσχάτου – Ταύρου.</w:t>
      </w:r>
    </w:p>
    <w:p w:rsidR="00FA72FF" w:rsidRPr="002601C2" w:rsidRDefault="00FA72FF" w:rsidP="00FA72FF">
      <w:pPr>
        <w:jc w:val="both"/>
        <w:rPr>
          <w:rFonts w:ascii="Tahoma" w:hAnsi="Tahoma" w:cs="Tahoma"/>
          <w:sz w:val="22"/>
          <w:szCs w:val="22"/>
        </w:rPr>
      </w:pPr>
    </w:p>
    <w:p w:rsidR="00FA72FF" w:rsidRPr="002601C2" w:rsidRDefault="00FA72FF" w:rsidP="00FA72FF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C260D5">
        <w:rPr>
          <w:rFonts w:ascii="Tahoma" w:hAnsi="Tahoma" w:cs="Tahoma"/>
          <w:sz w:val="22"/>
          <w:szCs w:val="22"/>
        </w:rPr>
        <w:t xml:space="preserve">συμπληρωματικής </w:t>
      </w:r>
      <w:r w:rsidRPr="002601C2">
        <w:rPr>
          <w:rFonts w:ascii="Tahoma" w:hAnsi="Tahoma" w:cs="Tahoma"/>
          <w:sz w:val="22"/>
          <w:szCs w:val="22"/>
        </w:rPr>
        <w:t>κατανομής ως εξής:</w:t>
      </w:r>
    </w:p>
    <w:p w:rsidR="00FA72FF" w:rsidRPr="008422F3" w:rsidRDefault="00FA72FF" w:rsidP="00FA72FF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FA72FF" w:rsidRPr="00710AC1" w:rsidRDefault="00FA72FF" w:rsidP="00FA72FF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>
        <w:rPr>
          <w:rFonts w:ascii="Tahoma" w:hAnsi="Tahoma" w:cs="Tahoma"/>
          <w:b/>
          <w:sz w:val="22"/>
          <w:szCs w:val="22"/>
        </w:rPr>
        <w:t>4</w:t>
      </w:r>
      <w:r w:rsidR="0069296A">
        <w:rPr>
          <w:rFonts w:ascii="Tahoma" w:hAnsi="Tahoma" w:cs="Tahoma"/>
          <w:b/>
          <w:sz w:val="22"/>
          <w:szCs w:val="22"/>
        </w:rPr>
        <w:t>0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69296A">
        <w:rPr>
          <w:rFonts w:ascii="Tahoma" w:hAnsi="Tahoma" w:cs="Tahoma"/>
          <w:sz w:val="22"/>
          <w:szCs w:val="22"/>
        </w:rPr>
        <w:t>8.605,07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2FF" w:rsidRPr="00710AC1" w:rsidRDefault="00FA72FF" w:rsidP="00FA72FF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69296A">
        <w:rPr>
          <w:rFonts w:ascii="Tahoma" w:hAnsi="Tahoma" w:cs="Tahoma"/>
          <w:b/>
          <w:sz w:val="22"/>
          <w:szCs w:val="22"/>
        </w:rPr>
        <w:t>60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69296A">
        <w:rPr>
          <w:rFonts w:ascii="Tahoma" w:hAnsi="Tahoma" w:cs="Tahoma"/>
          <w:sz w:val="22"/>
          <w:szCs w:val="22"/>
        </w:rPr>
        <w:t>12.907,61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2FF" w:rsidRPr="00710AC1" w:rsidRDefault="00FA72FF" w:rsidP="00FA72FF">
      <w:pPr>
        <w:ind w:left="360"/>
        <w:rPr>
          <w:b/>
          <w:bCs/>
        </w:rPr>
      </w:pPr>
    </w:p>
    <w:p w:rsidR="00FA72FF" w:rsidRPr="00710AC1" w:rsidRDefault="00FA72FF" w:rsidP="00FA72FF"/>
    <w:p w:rsidR="00FA72FF" w:rsidRPr="00710AC1" w:rsidRDefault="00FA72FF" w:rsidP="00FA72FF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Το Διοικητικό Συμβούλιο αφού έλαβε υπόψη του τα προαναφερόμενα και μετά από διαλογική συζήτηση</w:t>
      </w:r>
    </w:p>
    <w:p w:rsidR="00FA72FF" w:rsidRPr="00710AC1" w:rsidRDefault="00FA72FF" w:rsidP="00FA72FF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FA72FF" w:rsidRPr="00710AC1" w:rsidRDefault="00FA72FF" w:rsidP="00FA72FF">
      <w:pPr>
        <w:rPr>
          <w:rFonts w:ascii="Tahoma" w:hAnsi="Tahoma" w:cs="Tahoma"/>
          <w:sz w:val="22"/>
          <w:szCs w:val="22"/>
        </w:rPr>
      </w:pPr>
    </w:p>
    <w:p w:rsidR="00FA72FF" w:rsidRPr="00710AC1" w:rsidRDefault="00FA72FF" w:rsidP="00FA72FF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FA72FF" w:rsidRPr="00710AC1" w:rsidRDefault="00FA72FF" w:rsidP="00FA72FF">
      <w:pPr>
        <w:rPr>
          <w:rFonts w:ascii="Tahoma" w:hAnsi="Tahoma" w:cs="Tahoma"/>
          <w:sz w:val="22"/>
          <w:szCs w:val="22"/>
        </w:rPr>
      </w:pPr>
    </w:p>
    <w:p w:rsidR="00FA72FF" w:rsidRPr="00710AC1" w:rsidRDefault="00FA72FF" w:rsidP="00FA72FF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FA72FF" w:rsidRPr="00710AC1" w:rsidRDefault="00FA72FF" w:rsidP="00FA72FF">
      <w:pPr>
        <w:rPr>
          <w:rFonts w:ascii="Tahoma" w:hAnsi="Tahoma" w:cs="Tahoma"/>
          <w:sz w:val="22"/>
          <w:szCs w:val="22"/>
        </w:rPr>
      </w:pPr>
    </w:p>
    <w:p w:rsidR="0069296A" w:rsidRPr="00710AC1" w:rsidRDefault="00FA72FF" w:rsidP="0069296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  <w:r w:rsidR="0069296A" w:rsidRPr="00710AC1">
        <w:rPr>
          <w:rFonts w:ascii="Tahoma" w:hAnsi="Tahoma" w:cs="Tahoma"/>
          <w:sz w:val="22"/>
          <w:szCs w:val="22"/>
        </w:rPr>
        <w:t xml:space="preserve">Ποσοστό </w:t>
      </w:r>
      <w:r w:rsidR="0069296A">
        <w:rPr>
          <w:rFonts w:ascii="Tahoma" w:hAnsi="Tahoma" w:cs="Tahoma"/>
          <w:b/>
          <w:sz w:val="22"/>
          <w:szCs w:val="22"/>
        </w:rPr>
        <w:t>40</w:t>
      </w:r>
      <w:r w:rsidR="0069296A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69296A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69296A">
        <w:rPr>
          <w:rFonts w:ascii="Tahoma" w:hAnsi="Tahoma" w:cs="Tahoma"/>
          <w:sz w:val="22"/>
          <w:szCs w:val="22"/>
        </w:rPr>
        <w:t xml:space="preserve">8.605,07 </w:t>
      </w:r>
      <w:r w:rsidR="0069296A" w:rsidRPr="00710AC1">
        <w:rPr>
          <w:rFonts w:ascii="Tahoma" w:hAnsi="Tahoma" w:cs="Tahoma"/>
          <w:sz w:val="22"/>
          <w:szCs w:val="22"/>
        </w:rPr>
        <w:t>ευρώ).</w:t>
      </w:r>
    </w:p>
    <w:p w:rsidR="0069296A" w:rsidRPr="00710AC1" w:rsidRDefault="0069296A" w:rsidP="0069296A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>
        <w:rPr>
          <w:rFonts w:ascii="Tahoma" w:hAnsi="Tahoma" w:cs="Tahoma"/>
          <w:b/>
          <w:sz w:val="22"/>
          <w:szCs w:val="22"/>
        </w:rPr>
        <w:t>60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>
        <w:rPr>
          <w:rFonts w:ascii="Tahoma" w:hAnsi="Tahoma" w:cs="Tahoma"/>
          <w:sz w:val="22"/>
          <w:szCs w:val="22"/>
        </w:rPr>
        <w:t xml:space="preserve">12.907,61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FA72FF" w:rsidRPr="00EB7643" w:rsidRDefault="00FA72FF" w:rsidP="0069296A">
      <w:pPr>
        <w:ind w:left="360"/>
        <w:rPr>
          <w:rFonts w:ascii="Tahoma" w:hAnsi="Tahoma" w:cs="Tahoma"/>
          <w:sz w:val="22"/>
          <w:szCs w:val="22"/>
        </w:rPr>
      </w:pPr>
    </w:p>
    <w:p w:rsidR="00A10678" w:rsidRPr="00A10678" w:rsidRDefault="00A10678" w:rsidP="002543AA">
      <w:pPr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D32EAE" w:rsidRPr="00D32EAE" w:rsidRDefault="00D32EAE" w:rsidP="00D32EAE">
      <w:pPr>
        <w:rPr>
          <w:rFonts w:ascii="Tahoma" w:hAnsi="Tahoma" w:cs="Tahoma"/>
          <w:sz w:val="22"/>
          <w:szCs w:val="22"/>
        </w:rPr>
      </w:pPr>
    </w:p>
    <w:p w:rsidR="00C36F4A" w:rsidRPr="00AD10BF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b/>
          <w:sz w:val="22"/>
          <w:szCs w:val="22"/>
        </w:rPr>
        <w:t xml:space="preserve">        </w:t>
      </w:r>
      <w:r w:rsidRPr="00AD10BF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AD10BF" w:rsidTr="00CC1388">
        <w:tc>
          <w:tcPr>
            <w:tcW w:w="4788" w:type="dxa"/>
          </w:tcPr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AD10BF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AD10BF" w:rsidTr="00CC1388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10BF" w:rsidTr="00CC1388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AD10BF" w:rsidRDefault="00495A5E" w:rsidP="00CC1388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495A5E" w:rsidRPr="00AD10BF" w:rsidTr="00CC1388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AD10BF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AD10BF" w:rsidTr="00CC1388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AD10BF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AD10BF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CC1388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CC1388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69296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Μοσχάτο </w:t>
      </w:r>
      <w:r w:rsidR="0069296A" w:rsidRPr="0069296A">
        <w:rPr>
          <w:rFonts w:ascii="Tahoma" w:hAnsi="Tahoma" w:cs="Tahoma"/>
          <w:sz w:val="22"/>
          <w:szCs w:val="22"/>
        </w:rPr>
        <w:t>6</w:t>
      </w:r>
      <w:r w:rsidRPr="0069296A">
        <w:rPr>
          <w:rFonts w:ascii="Tahoma" w:hAnsi="Tahoma" w:cs="Tahoma"/>
          <w:sz w:val="22"/>
          <w:szCs w:val="22"/>
        </w:rPr>
        <w:t>/</w:t>
      </w:r>
      <w:r w:rsidR="00AD6625" w:rsidRPr="0069296A">
        <w:rPr>
          <w:rFonts w:ascii="Tahoma" w:hAnsi="Tahoma" w:cs="Tahoma"/>
          <w:sz w:val="22"/>
          <w:szCs w:val="22"/>
        </w:rPr>
        <w:t>1</w:t>
      </w:r>
      <w:r w:rsidR="0069296A" w:rsidRPr="0069296A">
        <w:rPr>
          <w:rFonts w:ascii="Tahoma" w:hAnsi="Tahoma" w:cs="Tahoma"/>
          <w:sz w:val="22"/>
          <w:szCs w:val="22"/>
        </w:rPr>
        <w:t>2</w:t>
      </w:r>
      <w:r w:rsidRPr="0069296A">
        <w:rPr>
          <w:rFonts w:ascii="Tahoma" w:hAnsi="Tahoma" w:cs="Tahoma"/>
          <w:sz w:val="22"/>
          <w:szCs w:val="22"/>
        </w:rPr>
        <w:t>/20</w:t>
      </w:r>
      <w:r w:rsidR="00CD20A8" w:rsidRPr="0069296A">
        <w:rPr>
          <w:rFonts w:ascii="Tahoma" w:hAnsi="Tahoma" w:cs="Tahoma"/>
          <w:sz w:val="22"/>
          <w:szCs w:val="22"/>
        </w:rPr>
        <w:t>2</w:t>
      </w:r>
      <w:r w:rsidR="005B34D3" w:rsidRPr="0069296A">
        <w:rPr>
          <w:rFonts w:ascii="Tahoma" w:hAnsi="Tahoma" w:cs="Tahoma"/>
          <w:sz w:val="22"/>
          <w:szCs w:val="22"/>
        </w:rPr>
        <w:t>1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516835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1106B">
        <w:rPr>
          <w:rFonts w:ascii="Tahoma" w:hAnsi="Tahoma" w:cs="Tahoma"/>
          <w:sz w:val="22"/>
          <w:szCs w:val="22"/>
        </w:rPr>
        <w:t>Κυμίνου</w:t>
      </w:r>
      <w:proofErr w:type="spellEnd"/>
      <w:r w:rsidRPr="0091106B">
        <w:rPr>
          <w:rFonts w:ascii="Tahoma" w:hAnsi="Tahoma" w:cs="Tahoma"/>
          <w:sz w:val="22"/>
          <w:szCs w:val="22"/>
        </w:rPr>
        <w:t xml:space="preserve"> Ευανθία</w:t>
      </w:r>
    </w:p>
    <w:p w:rsidR="00C36F4A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516D"/>
    <w:multiLevelType w:val="hybridMultilevel"/>
    <w:tmpl w:val="DCF07F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  <w:num w:numId="18">
    <w:abstractNumId w:val="12"/>
  </w:num>
  <w:num w:numId="19">
    <w:abstractNumId w:val="18"/>
  </w:num>
  <w:num w:numId="20">
    <w:abstractNumId w:val="10"/>
  </w:num>
  <w:num w:numId="21">
    <w:abstractNumId w:val="19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3775"/>
    <w:rsid w:val="00004E7E"/>
    <w:rsid w:val="00005F78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6B34"/>
    <w:rsid w:val="00067E63"/>
    <w:rsid w:val="00071874"/>
    <w:rsid w:val="00071CA2"/>
    <w:rsid w:val="000802C0"/>
    <w:rsid w:val="00086C2F"/>
    <w:rsid w:val="0008716D"/>
    <w:rsid w:val="000878F9"/>
    <w:rsid w:val="00087F3E"/>
    <w:rsid w:val="00087F98"/>
    <w:rsid w:val="00092CA2"/>
    <w:rsid w:val="00096B29"/>
    <w:rsid w:val="000973A3"/>
    <w:rsid w:val="000A0490"/>
    <w:rsid w:val="000A1D06"/>
    <w:rsid w:val="000A3EBD"/>
    <w:rsid w:val="000A55A5"/>
    <w:rsid w:val="000A5AE4"/>
    <w:rsid w:val="000B2688"/>
    <w:rsid w:val="000B5C95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1733E"/>
    <w:rsid w:val="00124CFA"/>
    <w:rsid w:val="0012511D"/>
    <w:rsid w:val="00126714"/>
    <w:rsid w:val="0012781C"/>
    <w:rsid w:val="00127AB1"/>
    <w:rsid w:val="001324E4"/>
    <w:rsid w:val="00133D1A"/>
    <w:rsid w:val="001343F2"/>
    <w:rsid w:val="00137BBC"/>
    <w:rsid w:val="00140BCD"/>
    <w:rsid w:val="0014262D"/>
    <w:rsid w:val="00145715"/>
    <w:rsid w:val="0015063F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3AF"/>
    <w:rsid w:val="001934AD"/>
    <w:rsid w:val="00195A7A"/>
    <w:rsid w:val="00196301"/>
    <w:rsid w:val="00196985"/>
    <w:rsid w:val="001A11E5"/>
    <w:rsid w:val="001A2A7F"/>
    <w:rsid w:val="001A35A3"/>
    <w:rsid w:val="001A37DA"/>
    <w:rsid w:val="001A4638"/>
    <w:rsid w:val="001A6EDA"/>
    <w:rsid w:val="001B4D30"/>
    <w:rsid w:val="001B60C5"/>
    <w:rsid w:val="001C3FE8"/>
    <w:rsid w:val="001C7C62"/>
    <w:rsid w:val="001D2F89"/>
    <w:rsid w:val="001D3A7D"/>
    <w:rsid w:val="001D616C"/>
    <w:rsid w:val="001E1745"/>
    <w:rsid w:val="001E5649"/>
    <w:rsid w:val="001F3386"/>
    <w:rsid w:val="001F4401"/>
    <w:rsid w:val="00203CCF"/>
    <w:rsid w:val="00204457"/>
    <w:rsid w:val="00211DB4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43A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4307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0A8A"/>
    <w:rsid w:val="002C0AFF"/>
    <w:rsid w:val="002C0F05"/>
    <w:rsid w:val="002C19BD"/>
    <w:rsid w:val="002C24BF"/>
    <w:rsid w:val="002D3416"/>
    <w:rsid w:val="002D46EC"/>
    <w:rsid w:val="002E0FF8"/>
    <w:rsid w:val="002E5590"/>
    <w:rsid w:val="002E68C3"/>
    <w:rsid w:val="002F22FC"/>
    <w:rsid w:val="002F4486"/>
    <w:rsid w:val="002F5025"/>
    <w:rsid w:val="002F5A2C"/>
    <w:rsid w:val="00301A30"/>
    <w:rsid w:val="00301E14"/>
    <w:rsid w:val="003024C6"/>
    <w:rsid w:val="00303F58"/>
    <w:rsid w:val="00305138"/>
    <w:rsid w:val="003119EF"/>
    <w:rsid w:val="0031531B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7283D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42D59"/>
    <w:rsid w:val="004440B8"/>
    <w:rsid w:val="00450B6A"/>
    <w:rsid w:val="00455BA4"/>
    <w:rsid w:val="00456A86"/>
    <w:rsid w:val="00457BE3"/>
    <w:rsid w:val="00470970"/>
    <w:rsid w:val="0047124E"/>
    <w:rsid w:val="00476AE9"/>
    <w:rsid w:val="004869D0"/>
    <w:rsid w:val="00493F5C"/>
    <w:rsid w:val="00495A5E"/>
    <w:rsid w:val="00496A4D"/>
    <w:rsid w:val="004A0A25"/>
    <w:rsid w:val="004A506C"/>
    <w:rsid w:val="004B42DB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A4"/>
    <w:rsid w:val="0053730E"/>
    <w:rsid w:val="005442F5"/>
    <w:rsid w:val="005504A3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C6F3B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9F4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6B3"/>
    <w:rsid w:val="006406E1"/>
    <w:rsid w:val="006411E3"/>
    <w:rsid w:val="00641B91"/>
    <w:rsid w:val="0064671C"/>
    <w:rsid w:val="00650866"/>
    <w:rsid w:val="0065181F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296A"/>
    <w:rsid w:val="00693ABC"/>
    <w:rsid w:val="006943F4"/>
    <w:rsid w:val="00694409"/>
    <w:rsid w:val="006A22A6"/>
    <w:rsid w:val="006A4E73"/>
    <w:rsid w:val="006A5433"/>
    <w:rsid w:val="006A6D5B"/>
    <w:rsid w:val="006B13B1"/>
    <w:rsid w:val="006B1D68"/>
    <w:rsid w:val="006B7120"/>
    <w:rsid w:val="006B71B9"/>
    <w:rsid w:val="006C2FAE"/>
    <w:rsid w:val="006C4989"/>
    <w:rsid w:val="006C6905"/>
    <w:rsid w:val="006C7281"/>
    <w:rsid w:val="006D28F9"/>
    <w:rsid w:val="006D3B0A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0DF0"/>
    <w:rsid w:val="00731BD2"/>
    <w:rsid w:val="00732B2B"/>
    <w:rsid w:val="00733C67"/>
    <w:rsid w:val="007467AD"/>
    <w:rsid w:val="00751953"/>
    <w:rsid w:val="00755772"/>
    <w:rsid w:val="00757546"/>
    <w:rsid w:val="00757A79"/>
    <w:rsid w:val="00762E7B"/>
    <w:rsid w:val="00765F52"/>
    <w:rsid w:val="00766543"/>
    <w:rsid w:val="00770091"/>
    <w:rsid w:val="00774031"/>
    <w:rsid w:val="007748E0"/>
    <w:rsid w:val="0077521A"/>
    <w:rsid w:val="007765CB"/>
    <w:rsid w:val="0078043F"/>
    <w:rsid w:val="00780E1B"/>
    <w:rsid w:val="00782D21"/>
    <w:rsid w:val="007952A3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1DB7"/>
    <w:rsid w:val="007E3049"/>
    <w:rsid w:val="007F0ADD"/>
    <w:rsid w:val="007F1E60"/>
    <w:rsid w:val="007F3F82"/>
    <w:rsid w:val="007F5DB5"/>
    <w:rsid w:val="007F68FC"/>
    <w:rsid w:val="00800350"/>
    <w:rsid w:val="0080069F"/>
    <w:rsid w:val="008033C0"/>
    <w:rsid w:val="00803F1F"/>
    <w:rsid w:val="00804E95"/>
    <w:rsid w:val="00805616"/>
    <w:rsid w:val="008112B7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275C"/>
    <w:rsid w:val="00882EFE"/>
    <w:rsid w:val="0088445A"/>
    <w:rsid w:val="0088561D"/>
    <w:rsid w:val="00890750"/>
    <w:rsid w:val="008A123C"/>
    <w:rsid w:val="008A2784"/>
    <w:rsid w:val="008A390C"/>
    <w:rsid w:val="008A3BEC"/>
    <w:rsid w:val="008B2973"/>
    <w:rsid w:val="008B2EE0"/>
    <w:rsid w:val="008B3976"/>
    <w:rsid w:val="008C06E9"/>
    <w:rsid w:val="008C1B6E"/>
    <w:rsid w:val="008C395A"/>
    <w:rsid w:val="008C3FAA"/>
    <w:rsid w:val="008C4C38"/>
    <w:rsid w:val="008D2904"/>
    <w:rsid w:val="008D49E2"/>
    <w:rsid w:val="008D5AE0"/>
    <w:rsid w:val="008D76F6"/>
    <w:rsid w:val="008E0664"/>
    <w:rsid w:val="008E0F14"/>
    <w:rsid w:val="008E723B"/>
    <w:rsid w:val="008F1353"/>
    <w:rsid w:val="008F2C9D"/>
    <w:rsid w:val="008F77AD"/>
    <w:rsid w:val="009017CF"/>
    <w:rsid w:val="009043F5"/>
    <w:rsid w:val="00907E04"/>
    <w:rsid w:val="0091106B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22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287"/>
    <w:rsid w:val="009F58FE"/>
    <w:rsid w:val="009F60A9"/>
    <w:rsid w:val="009F7999"/>
    <w:rsid w:val="00A01B90"/>
    <w:rsid w:val="00A02696"/>
    <w:rsid w:val="00A03B9F"/>
    <w:rsid w:val="00A0431D"/>
    <w:rsid w:val="00A051F7"/>
    <w:rsid w:val="00A10678"/>
    <w:rsid w:val="00A112A0"/>
    <w:rsid w:val="00A115A0"/>
    <w:rsid w:val="00A13D81"/>
    <w:rsid w:val="00A1509D"/>
    <w:rsid w:val="00A1763D"/>
    <w:rsid w:val="00A2201A"/>
    <w:rsid w:val="00A223A5"/>
    <w:rsid w:val="00A227C0"/>
    <w:rsid w:val="00A24CD1"/>
    <w:rsid w:val="00A3117A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0CA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10BF"/>
    <w:rsid w:val="00AD2832"/>
    <w:rsid w:val="00AD369F"/>
    <w:rsid w:val="00AD551A"/>
    <w:rsid w:val="00AD574C"/>
    <w:rsid w:val="00AD6625"/>
    <w:rsid w:val="00AE0831"/>
    <w:rsid w:val="00AE3212"/>
    <w:rsid w:val="00AF2000"/>
    <w:rsid w:val="00AF2A5D"/>
    <w:rsid w:val="00AF3C52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44B5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7444F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B6A6B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2CDB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60D5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1388"/>
    <w:rsid w:val="00CC52F8"/>
    <w:rsid w:val="00CC7C48"/>
    <w:rsid w:val="00CD06DF"/>
    <w:rsid w:val="00CD20A8"/>
    <w:rsid w:val="00CE022B"/>
    <w:rsid w:val="00CE0F15"/>
    <w:rsid w:val="00CE2C81"/>
    <w:rsid w:val="00CE6C32"/>
    <w:rsid w:val="00CF36AE"/>
    <w:rsid w:val="00D02C9D"/>
    <w:rsid w:val="00D057F5"/>
    <w:rsid w:val="00D10D58"/>
    <w:rsid w:val="00D1247B"/>
    <w:rsid w:val="00D14C89"/>
    <w:rsid w:val="00D14CE1"/>
    <w:rsid w:val="00D20FC8"/>
    <w:rsid w:val="00D216EA"/>
    <w:rsid w:val="00D22C1B"/>
    <w:rsid w:val="00D30D53"/>
    <w:rsid w:val="00D32EAE"/>
    <w:rsid w:val="00D3443F"/>
    <w:rsid w:val="00D36EF7"/>
    <w:rsid w:val="00D43B97"/>
    <w:rsid w:val="00D44594"/>
    <w:rsid w:val="00D4558A"/>
    <w:rsid w:val="00D469CB"/>
    <w:rsid w:val="00D51BA0"/>
    <w:rsid w:val="00D522BB"/>
    <w:rsid w:val="00D53300"/>
    <w:rsid w:val="00D53347"/>
    <w:rsid w:val="00D554C5"/>
    <w:rsid w:val="00D62B4A"/>
    <w:rsid w:val="00D64BBB"/>
    <w:rsid w:val="00D66306"/>
    <w:rsid w:val="00D6715B"/>
    <w:rsid w:val="00D71360"/>
    <w:rsid w:val="00D76A84"/>
    <w:rsid w:val="00D815D5"/>
    <w:rsid w:val="00D82015"/>
    <w:rsid w:val="00D843D3"/>
    <w:rsid w:val="00D87D53"/>
    <w:rsid w:val="00D90396"/>
    <w:rsid w:val="00D939AA"/>
    <w:rsid w:val="00D97E31"/>
    <w:rsid w:val="00DA3844"/>
    <w:rsid w:val="00DA49CF"/>
    <w:rsid w:val="00DA7490"/>
    <w:rsid w:val="00DB241E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15E"/>
    <w:rsid w:val="00E227A6"/>
    <w:rsid w:val="00E2345F"/>
    <w:rsid w:val="00E24852"/>
    <w:rsid w:val="00E24BE3"/>
    <w:rsid w:val="00E26A85"/>
    <w:rsid w:val="00E27EB8"/>
    <w:rsid w:val="00E34320"/>
    <w:rsid w:val="00E35AEF"/>
    <w:rsid w:val="00E4413E"/>
    <w:rsid w:val="00E44E0F"/>
    <w:rsid w:val="00E56003"/>
    <w:rsid w:val="00E57E7B"/>
    <w:rsid w:val="00E640D7"/>
    <w:rsid w:val="00E64587"/>
    <w:rsid w:val="00E6560C"/>
    <w:rsid w:val="00E65CE5"/>
    <w:rsid w:val="00E65D73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97956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292C"/>
    <w:rsid w:val="00EF2AB3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3FC3"/>
    <w:rsid w:val="00F459A8"/>
    <w:rsid w:val="00F45DB7"/>
    <w:rsid w:val="00F47899"/>
    <w:rsid w:val="00F52AF3"/>
    <w:rsid w:val="00F54E62"/>
    <w:rsid w:val="00F619E9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4695"/>
    <w:rsid w:val="00F9531D"/>
    <w:rsid w:val="00FA3746"/>
    <w:rsid w:val="00FA52EA"/>
    <w:rsid w:val="00FA72FF"/>
    <w:rsid w:val="00FB10E0"/>
    <w:rsid w:val="00FB553A"/>
    <w:rsid w:val="00FB7D17"/>
    <w:rsid w:val="00FC1D2B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304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ody Text"/>
    <w:basedOn w:val="a"/>
    <w:link w:val="Char0"/>
    <w:rsid w:val="007952A3"/>
    <w:pPr>
      <w:spacing w:after="120"/>
    </w:pPr>
  </w:style>
  <w:style w:type="character" w:customStyle="1" w:styleId="Char0">
    <w:name w:val="Σώμα κειμένου Char"/>
    <w:basedOn w:val="a0"/>
    <w:link w:val="a6"/>
    <w:rsid w:val="007952A3"/>
    <w:rPr>
      <w:sz w:val="24"/>
      <w:szCs w:val="24"/>
    </w:rPr>
  </w:style>
  <w:style w:type="character" w:customStyle="1" w:styleId="fontstyle31">
    <w:name w:val="fontstyle31"/>
    <w:basedOn w:val="a0"/>
    <w:rsid w:val="007952A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-">
    <w:name w:val="Hyperlink"/>
    <w:basedOn w:val="a0"/>
    <w:uiPriority w:val="99"/>
    <w:unhideWhenUsed/>
    <w:rsid w:val="008C1B6E"/>
    <w:rPr>
      <w:color w:val="0000FF"/>
      <w:u w:val="single"/>
    </w:rPr>
  </w:style>
  <w:style w:type="character" w:customStyle="1" w:styleId="markedcontent">
    <w:name w:val="markedcontent"/>
    <w:basedOn w:val="a0"/>
    <w:rsid w:val="00AD6625"/>
  </w:style>
  <w:style w:type="character" w:customStyle="1" w:styleId="Heading6">
    <w:name w:val="Heading #6"/>
    <w:basedOn w:val="a0"/>
    <w:uiPriority w:val="99"/>
    <w:rsid w:val="002C0AFF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283D-08AE-4428-8E26-6417DDC4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13</cp:revision>
  <cp:lastPrinted>2021-12-07T08:20:00Z</cp:lastPrinted>
  <dcterms:created xsi:type="dcterms:W3CDTF">2021-11-23T08:25:00Z</dcterms:created>
  <dcterms:modified xsi:type="dcterms:W3CDTF">2021-12-07T08:20:00Z</dcterms:modified>
</cp:coreProperties>
</file>