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F1C" w:rsidRPr="00CB598B" w:rsidRDefault="00D95E35" w:rsidP="00AB6F1C">
      <w:pPr>
        <w:pStyle w:val="Heading61"/>
        <w:keepNext/>
        <w:keepLines/>
        <w:shd w:val="clear" w:color="auto" w:fill="auto"/>
        <w:tabs>
          <w:tab w:val="left" w:pos="6096"/>
        </w:tabs>
        <w:spacing w:after="120" w:line="276" w:lineRule="auto"/>
        <w:jc w:val="left"/>
        <w:rPr>
          <w:rStyle w:val="Heading60"/>
          <w:rFonts w:asciiTheme="minorHAnsi" w:hAnsiTheme="minorHAnsi" w:cs="Arial"/>
          <w:lang w:val="en-US"/>
        </w:rPr>
      </w:pPr>
      <w:r w:rsidRPr="00D95E35">
        <w:rPr>
          <w:rFonts w:asciiTheme="minorHAnsi" w:hAnsiTheme="minorHAnsi" w:cs="Arial"/>
          <w:b w:val="0"/>
          <w:bCs w:val="0"/>
          <w:i w:val="0"/>
          <w:iCs w:val="0"/>
          <w:noProof/>
        </w:rPr>
        <w:pict>
          <v:shapetype id="_x0000_t202" coordsize="21600,21600" o:spt="202" path="m,l,21600r21600,l21600,xe">
            <v:stroke joinstyle="miter"/>
            <v:path gradientshapeok="t" o:connecttype="rect"/>
          </v:shapetype>
          <v:shape id="_x0000_s1026" type="#_x0000_t202" style="position:absolute;margin-left:-6.6pt;margin-top:-31.8pt;width:273.15pt;height:264.55pt;z-index:251660288;mso-width-relative:margin;mso-height-relative:margin" stroked="f">
            <v:textbox style="mso-next-textbox:#_x0000_s1026">
              <w:txbxContent>
                <w:p w:rsidR="00AB6F1C" w:rsidRPr="00384F8B" w:rsidRDefault="00AB6F1C" w:rsidP="00AB6F1C">
                  <w:pPr>
                    <w:pStyle w:val="2"/>
                  </w:pPr>
                  <w:r>
                    <w:rPr>
                      <w:noProof/>
                      <w:lang w:eastAsia="el-GR"/>
                    </w:rPr>
                    <w:drawing>
                      <wp:inline distT="0" distB="0" distL="0" distR="0">
                        <wp:extent cx="1020445" cy="99949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1020445" cy="999490"/>
                                </a:xfrm>
                                <a:prstGeom prst="rect">
                                  <a:avLst/>
                                </a:prstGeom>
                                <a:noFill/>
                                <a:ln w="9525">
                                  <a:noFill/>
                                  <a:miter lim="800000"/>
                                  <a:headEnd/>
                                  <a:tailEnd/>
                                </a:ln>
                              </pic:spPr>
                            </pic:pic>
                          </a:graphicData>
                        </a:graphic>
                      </wp:inline>
                    </w:drawing>
                  </w:r>
                </w:p>
                <w:p w:rsidR="00AB6F1C" w:rsidRPr="00792930" w:rsidRDefault="00AB6F1C" w:rsidP="004F1761">
                  <w:pPr>
                    <w:pStyle w:val="1"/>
                    <w:spacing w:after="120"/>
                    <w:rPr>
                      <w:rFonts w:ascii="Calibri" w:hAnsi="Calibri" w:cs="Arial"/>
                      <w:szCs w:val="24"/>
                    </w:rPr>
                  </w:pPr>
                  <w:r w:rsidRPr="00792930">
                    <w:rPr>
                      <w:rFonts w:ascii="Calibri" w:hAnsi="Calibri" w:cs="Arial"/>
                      <w:szCs w:val="24"/>
                    </w:rPr>
                    <w:t xml:space="preserve">ΕΛΛΗΝΙΚΗ ΔΗΜΟΚΡΑΤΙΑ                                       </w:t>
                  </w:r>
                </w:p>
                <w:p w:rsidR="00AB6F1C" w:rsidRPr="00792930" w:rsidRDefault="004F1761" w:rsidP="004F1761">
                  <w:pPr>
                    <w:spacing w:after="120" w:line="360" w:lineRule="auto"/>
                    <w:jc w:val="both"/>
                    <w:rPr>
                      <w:rFonts w:cs="Arial"/>
                      <w:b/>
                      <w:sz w:val="24"/>
                      <w:szCs w:val="24"/>
                    </w:rPr>
                  </w:pPr>
                  <w:r>
                    <w:rPr>
                      <w:rFonts w:cs="Arial"/>
                      <w:b/>
                      <w:sz w:val="24"/>
                      <w:szCs w:val="24"/>
                    </w:rPr>
                    <w:t>ΑΠΟΚΕΝΤΡΩΜΕΝΗ ΔΙΟΙΚΗΣΗ</w:t>
                  </w:r>
                  <w:r w:rsidR="00AB6F1C" w:rsidRPr="00792930">
                    <w:rPr>
                      <w:rFonts w:cs="Arial"/>
                      <w:b/>
                      <w:sz w:val="24"/>
                      <w:szCs w:val="24"/>
                    </w:rPr>
                    <w:t xml:space="preserve"> ΑΤΤΙΚΗΣ                                                            </w:t>
                  </w:r>
                </w:p>
                <w:p w:rsidR="00AB6F1C" w:rsidRPr="00792930" w:rsidRDefault="00AB6F1C" w:rsidP="004F1761">
                  <w:pPr>
                    <w:spacing w:after="120" w:line="360" w:lineRule="auto"/>
                    <w:jc w:val="both"/>
                    <w:rPr>
                      <w:rFonts w:cs="Arial"/>
                      <w:b/>
                      <w:sz w:val="24"/>
                      <w:szCs w:val="24"/>
                    </w:rPr>
                  </w:pPr>
                  <w:r w:rsidRPr="00792930">
                    <w:rPr>
                      <w:rFonts w:cs="Arial"/>
                      <w:b/>
                      <w:sz w:val="24"/>
                      <w:szCs w:val="24"/>
                    </w:rPr>
                    <w:t>ΔΗΜΟΣ ΜΟΣΧΑΤΟΥ</w:t>
                  </w:r>
                </w:p>
                <w:p w:rsidR="00AB6F1C" w:rsidRPr="00792930" w:rsidRDefault="00AB6F1C" w:rsidP="004F1761">
                  <w:pPr>
                    <w:spacing w:after="120" w:line="360" w:lineRule="auto"/>
                    <w:jc w:val="both"/>
                    <w:rPr>
                      <w:rFonts w:cs="Arial"/>
                      <w:b/>
                      <w:sz w:val="24"/>
                      <w:szCs w:val="24"/>
                    </w:rPr>
                  </w:pPr>
                  <w:r w:rsidRPr="00792930">
                    <w:rPr>
                      <w:rFonts w:cs="Arial"/>
                      <w:b/>
                      <w:sz w:val="24"/>
                      <w:szCs w:val="24"/>
                    </w:rPr>
                    <w:t>ΔΙΕΥΘΥΝΣΗ ΚΟΡΑΗ 36</w:t>
                  </w:r>
                </w:p>
                <w:p w:rsidR="00AB6F1C" w:rsidRPr="00792930" w:rsidRDefault="00AB6F1C" w:rsidP="004F1761">
                  <w:pPr>
                    <w:spacing w:after="120" w:line="360" w:lineRule="auto"/>
                    <w:jc w:val="both"/>
                    <w:rPr>
                      <w:rFonts w:cs="Arial"/>
                      <w:b/>
                      <w:sz w:val="24"/>
                      <w:szCs w:val="24"/>
                    </w:rPr>
                  </w:pPr>
                  <w:r w:rsidRPr="00792930">
                    <w:rPr>
                      <w:rFonts w:cs="Arial"/>
                      <w:b/>
                      <w:sz w:val="24"/>
                      <w:szCs w:val="24"/>
                    </w:rPr>
                    <w:t>Τηλέφωνο : 213/2019624</w:t>
                  </w:r>
                </w:p>
                <w:p w:rsidR="00AB6F1C" w:rsidRPr="00792930" w:rsidRDefault="00AB6F1C" w:rsidP="004F1761">
                  <w:pPr>
                    <w:spacing w:line="360" w:lineRule="auto"/>
                    <w:jc w:val="both"/>
                    <w:rPr>
                      <w:rFonts w:cs="Arial"/>
                      <w:b/>
                      <w:sz w:val="24"/>
                      <w:szCs w:val="24"/>
                    </w:rPr>
                  </w:pPr>
                  <w:proofErr w:type="gramStart"/>
                  <w:r w:rsidRPr="00792930">
                    <w:rPr>
                      <w:rFonts w:cs="Arial"/>
                      <w:b/>
                      <w:sz w:val="24"/>
                      <w:szCs w:val="24"/>
                      <w:lang w:val="en-US"/>
                    </w:rPr>
                    <w:t>Fax</w:t>
                  </w:r>
                  <w:r w:rsidRPr="00792930">
                    <w:rPr>
                      <w:rFonts w:cs="Arial"/>
                      <w:b/>
                      <w:sz w:val="24"/>
                      <w:szCs w:val="24"/>
                    </w:rPr>
                    <w:t xml:space="preserve"> :</w:t>
                  </w:r>
                  <w:proofErr w:type="gramEnd"/>
                  <w:r w:rsidRPr="00792930">
                    <w:rPr>
                      <w:rFonts w:cs="Arial"/>
                      <w:b/>
                      <w:sz w:val="24"/>
                      <w:szCs w:val="24"/>
                    </w:rPr>
                    <w:t xml:space="preserve">             210/9416154</w:t>
                  </w:r>
                </w:p>
                <w:p w:rsidR="00AB6F1C" w:rsidRPr="00792930" w:rsidRDefault="00AB6F1C" w:rsidP="00AB6F1C">
                  <w:pPr>
                    <w:rPr>
                      <w:rFonts w:cs="Arial"/>
                      <w:b/>
                      <w:sz w:val="24"/>
                      <w:szCs w:val="24"/>
                    </w:rPr>
                  </w:pPr>
                  <w:r w:rsidRPr="00792930">
                    <w:rPr>
                      <w:rFonts w:cs="Arial"/>
                      <w:b/>
                      <w:sz w:val="24"/>
                      <w:szCs w:val="24"/>
                      <w:lang w:val="en-US"/>
                    </w:rPr>
                    <w:t>E</w:t>
                  </w:r>
                  <w:r w:rsidRPr="00792930">
                    <w:rPr>
                      <w:rFonts w:cs="Arial"/>
                      <w:b/>
                      <w:sz w:val="24"/>
                      <w:szCs w:val="24"/>
                    </w:rPr>
                    <w:t>-</w:t>
                  </w:r>
                  <w:r w:rsidRPr="00792930">
                    <w:rPr>
                      <w:rFonts w:cs="Arial"/>
                      <w:b/>
                      <w:sz w:val="24"/>
                      <w:szCs w:val="24"/>
                      <w:lang w:val="en-US"/>
                    </w:rPr>
                    <w:t>mail</w:t>
                  </w:r>
                  <w:r w:rsidRPr="00792930">
                    <w:rPr>
                      <w:rFonts w:cs="Arial"/>
                      <w:b/>
                      <w:sz w:val="24"/>
                      <w:szCs w:val="24"/>
                    </w:rPr>
                    <w:t xml:space="preserve">:         </w:t>
                  </w:r>
                  <w:r w:rsidRPr="00792930">
                    <w:rPr>
                      <w:rFonts w:cs="Arial"/>
                      <w:b/>
                      <w:sz w:val="24"/>
                      <w:szCs w:val="24"/>
                      <w:lang w:val="en-US"/>
                    </w:rPr>
                    <w:t>tamiaki</w:t>
                  </w:r>
                  <w:r w:rsidRPr="00792930">
                    <w:rPr>
                      <w:rFonts w:cs="Arial"/>
                      <w:b/>
                      <w:sz w:val="24"/>
                      <w:szCs w:val="24"/>
                    </w:rPr>
                    <w:t>@0168.</w:t>
                  </w:r>
                  <w:r w:rsidRPr="00792930">
                    <w:rPr>
                      <w:rFonts w:cs="Arial"/>
                      <w:b/>
                      <w:sz w:val="24"/>
                      <w:szCs w:val="24"/>
                      <w:lang w:val="en-US"/>
                    </w:rPr>
                    <w:t>syzefxis</w:t>
                  </w:r>
                  <w:r w:rsidRPr="00792930">
                    <w:rPr>
                      <w:rFonts w:cs="Arial"/>
                      <w:b/>
                      <w:sz w:val="24"/>
                      <w:szCs w:val="24"/>
                    </w:rPr>
                    <w:t>.</w:t>
                  </w:r>
                  <w:r w:rsidRPr="00792930">
                    <w:rPr>
                      <w:rFonts w:cs="Arial"/>
                      <w:b/>
                      <w:sz w:val="24"/>
                      <w:szCs w:val="24"/>
                      <w:lang w:val="en-US"/>
                    </w:rPr>
                    <w:t>gov</w:t>
                  </w:r>
                  <w:r w:rsidRPr="00792930">
                    <w:rPr>
                      <w:rFonts w:cs="Arial"/>
                      <w:b/>
                      <w:sz w:val="24"/>
                      <w:szCs w:val="24"/>
                    </w:rPr>
                    <w:t>.</w:t>
                  </w:r>
                  <w:r w:rsidRPr="00792930">
                    <w:rPr>
                      <w:rFonts w:cs="Arial"/>
                      <w:b/>
                      <w:sz w:val="24"/>
                      <w:szCs w:val="24"/>
                      <w:lang w:val="en-US"/>
                    </w:rPr>
                    <w:t>gr</w:t>
                  </w:r>
                </w:p>
              </w:txbxContent>
            </v:textbox>
          </v:shape>
        </w:pict>
      </w:r>
    </w:p>
    <w:p w:rsidR="00AB6F1C" w:rsidRPr="00B57AAA" w:rsidRDefault="00AB6F1C" w:rsidP="00AB6F1C">
      <w:pPr>
        <w:spacing w:after="120"/>
        <w:ind w:left="-360" w:firstLine="360"/>
        <w:jc w:val="right"/>
      </w:pPr>
    </w:p>
    <w:p w:rsidR="00AB6F1C" w:rsidRPr="00B57AAA" w:rsidRDefault="00AB6F1C" w:rsidP="00AB6F1C">
      <w:pPr>
        <w:spacing w:after="120"/>
        <w:ind w:left="-360" w:firstLine="360"/>
        <w:jc w:val="right"/>
      </w:pPr>
    </w:p>
    <w:p w:rsidR="00AB6F1C" w:rsidRPr="00B57AAA" w:rsidRDefault="00D95E35" w:rsidP="00AB6F1C">
      <w:pPr>
        <w:spacing w:after="120"/>
        <w:rPr>
          <w:rStyle w:val="Heading60"/>
          <w:rFonts w:asciiTheme="minorHAnsi" w:hAnsiTheme="minorHAnsi" w:cs="Arial"/>
        </w:rPr>
      </w:pPr>
      <w:r w:rsidRPr="00D95E35">
        <w:rPr>
          <w:rFonts w:cs="Arial"/>
          <w:b/>
          <w:bCs/>
          <w:iCs/>
          <w:noProof/>
        </w:rPr>
        <w:pict>
          <v:shape id="_x0000_s1027" type="#_x0000_t202" style="position:absolute;margin-left:291.7pt;margin-top:4.55pt;width:167.6pt;height:53.4pt;z-index:251661312;mso-height-percent:200;mso-height-percent:200;mso-width-relative:margin;mso-height-relative:margin" stroked="f">
            <v:textbox style="mso-next-textbox:#_x0000_s1027;mso-fit-shape-to-text:t">
              <w:txbxContent>
                <w:p w:rsidR="00AB6F1C" w:rsidRPr="00792930" w:rsidRDefault="00020BCF" w:rsidP="004F1761">
                  <w:pPr>
                    <w:spacing w:line="360" w:lineRule="auto"/>
                    <w:rPr>
                      <w:rFonts w:cs="Arial"/>
                      <w:b/>
                      <w:sz w:val="24"/>
                      <w:szCs w:val="24"/>
                    </w:rPr>
                  </w:pPr>
                  <w:r w:rsidRPr="00792930">
                    <w:rPr>
                      <w:rFonts w:cs="Arial"/>
                      <w:b/>
                      <w:sz w:val="24"/>
                      <w:szCs w:val="24"/>
                    </w:rPr>
                    <w:t xml:space="preserve">Ημερομηνία: </w:t>
                  </w:r>
                  <w:r w:rsidR="00792930" w:rsidRPr="00792930">
                    <w:rPr>
                      <w:rFonts w:cs="Arial"/>
                      <w:b/>
                      <w:sz w:val="24"/>
                      <w:szCs w:val="24"/>
                    </w:rPr>
                    <w:t>07</w:t>
                  </w:r>
                  <w:r w:rsidRPr="00792930">
                    <w:rPr>
                      <w:rFonts w:cs="Arial"/>
                      <w:b/>
                      <w:sz w:val="24"/>
                      <w:szCs w:val="24"/>
                    </w:rPr>
                    <w:t>/</w:t>
                  </w:r>
                  <w:r w:rsidR="00792930" w:rsidRPr="00792930">
                    <w:rPr>
                      <w:rFonts w:cs="Arial"/>
                      <w:b/>
                      <w:sz w:val="24"/>
                      <w:szCs w:val="24"/>
                    </w:rPr>
                    <w:t>10</w:t>
                  </w:r>
                  <w:r w:rsidRPr="00792930">
                    <w:rPr>
                      <w:rFonts w:cs="Arial"/>
                      <w:b/>
                      <w:sz w:val="24"/>
                      <w:szCs w:val="24"/>
                    </w:rPr>
                    <w:t>/2021</w:t>
                  </w:r>
                </w:p>
                <w:p w:rsidR="00AB6F1C" w:rsidRPr="00792930" w:rsidRDefault="00AB6F1C" w:rsidP="004F1761">
                  <w:pPr>
                    <w:spacing w:after="120" w:line="360" w:lineRule="auto"/>
                    <w:rPr>
                      <w:rFonts w:cs="Arial"/>
                      <w:b/>
                      <w:sz w:val="24"/>
                      <w:szCs w:val="24"/>
                    </w:rPr>
                  </w:pPr>
                </w:p>
                <w:p w:rsidR="00AB6F1C" w:rsidRPr="00792930" w:rsidRDefault="00AB6F1C" w:rsidP="004F1761">
                  <w:pPr>
                    <w:spacing w:after="120" w:line="360" w:lineRule="auto"/>
                    <w:rPr>
                      <w:sz w:val="24"/>
                      <w:szCs w:val="24"/>
                    </w:rPr>
                  </w:pPr>
                  <w:r w:rsidRPr="00792930">
                    <w:rPr>
                      <w:rFonts w:cs="Arial"/>
                      <w:b/>
                      <w:sz w:val="24"/>
                      <w:szCs w:val="24"/>
                    </w:rPr>
                    <w:t>ΠΡΟΣ: ΤΟΝ ΠΡΟΕΔΡΟ &amp;     ΤΑ ΜΕΛΗ ΤΗΣ ΟΙΚΟΝΟΜΙΚΗΣ ΕΠΙΤΡΟΠΗΣ</w:t>
                  </w:r>
                </w:p>
              </w:txbxContent>
            </v:textbox>
          </v:shape>
        </w:pict>
      </w:r>
    </w:p>
    <w:p w:rsidR="00AB6F1C" w:rsidRPr="00B57AAA" w:rsidRDefault="00AB6F1C" w:rsidP="00AB6F1C">
      <w:pPr>
        <w:spacing w:after="120"/>
        <w:jc w:val="both"/>
        <w:rPr>
          <w:rStyle w:val="Heading60"/>
          <w:rFonts w:asciiTheme="minorHAnsi" w:hAnsiTheme="minorHAnsi" w:cs="Arial"/>
        </w:rPr>
      </w:pPr>
    </w:p>
    <w:p w:rsidR="00AB6F1C" w:rsidRPr="00B57AAA" w:rsidRDefault="00AB6F1C" w:rsidP="00AB6F1C">
      <w:pPr>
        <w:spacing w:after="120"/>
        <w:jc w:val="both"/>
        <w:rPr>
          <w:rStyle w:val="Heading60"/>
          <w:rFonts w:asciiTheme="minorHAnsi" w:hAnsiTheme="minorHAnsi" w:cs="Arial"/>
        </w:rPr>
      </w:pPr>
    </w:p>
    <w:p w:rsidR="00AB6F1C" w:rsidRPr="00B57AAA" w:rsidRDefault="00AB6F1C" w:rsidP="00AB6F1C">
      <w:pPr>
        <w:spacing w:after="120"/>
        <w:jc w:val="both"/>
        <w:rPr>
          <w:rStyle w:val="Heading60"/>
          <w:rFonts w:asciiTheme="minorHAnsi" w:hAnsiTheme="minorHAnsi" w:cs="Arial"/>
        </w:rPr>
      </w:pPr>
    </w:p>
    <w:p w:rsidR="00AB6F1C" w:rsidRPr="00B57AAA" w:rsidRDefault="00AB6F1C" w:rsidP="00AB6F1C">
      <w:pPr>
        <w:spacing w:after="120"/>
        <w:jc w:val="both"/>
        <w:rPr>
          <w:rStyle w:val="Heading60"/>
          <w:rFonts w:asciiTheme="minorHAnsi" w:hAnsiTheme="minorHAnsi" w:cs="Arial"/>
        </w:rPr>
      </w:pPr>
    </w:p>
    <w:p w:rsidR="00AB6F1C" w:rsidRPr="00B57AAA" w:rsidRDefault="00AB6F1C" w:rsidP="00AB6F1C">
      <w:pPr>
        <w:spacing w:after="120"/>
        <w:jc w:val="both"/>
        <w:rPr>
          <w:rStyle w:val="Heading60"/>
          <w:rFonts w:asciiTheme="minorHAnsi" w:hAnsiTheme="minorHAnsi" w:cs="Arial"/>
        </w:rPr>
      </w:pPr>
    </w:p>
    <w:p w:rsidR="00AB6F1C" w:rsidRDefault="00AB6F1C" w:rsidP="00AB6F1C">
      <w:pPr>
        <w:spacing w:after="120"/>
        <w:jc w:val="both"/>
        <w:rPr>
          <w:rStyle w:val="Heading60"/>
          <w:rFonts w:asciiTheme="minorHAnsi" w:hAnsiTheme="minorHAnsi" w:cs="Arial"/>
        </w:rPr>
      </w:pPr>
    </w:p>
    <w:p w:rsidR="00AB6F1C" w:rsidRPr="00B57AAA" w:rsidRDefault="00AB6F1C" w:rsidP="00AB6F1C">
      <w:pPr>
        <w:spacing w:after="120"/>
        <w:jc w:val="both"/>
        <w:rPr>
          <w:rStyle w:val="Heading60"/>
          <w:rFonts w:asciiTheme="minorHAnsi" w:hAnsiTheme="minorHAnsi" w:cs="Arial"/>
        </w:rPr>
      </w:pPr>
    </w:p>
    <w:p w:rsidR="008B4E71" w:rsidRPr="008B4E71" w:rsidRDefault="008B4E71" w:rsidP="00AB6F1C">
      <w:pPr>
        <w:spacing w:after="120"/>
        <w:jc w:val="both"/>
        <w:rPr>
          <w:rStyle w:val="Heading60"/>
          <w:rFonts w:asciiTheme="minorHAnsi" w:hAnsiTheme="minorHAnsi" w:cs="Arial"/>
          <w:i w:val="0"/>
          <w:sz w:val="24"/>
          <w:szCs w:val="24"/>
        </w:rPr>
      </w:pPr>
    </w:p>
    <w:p w:rsidR="00AB6F1C" w:rsidRPr="008B4E71" w:rsidRDefault="005D3E1C" w:rsidP="00AB6F1C">
      <w:pPr>
        <w:spacing w:after="120"/>
        <w:jc w:val="both"/>
        <w:rPr>
          <w:rStyle w:val="Heading60"/>
          <w:rFonts w:ascii="Times New Roman" w:hAnsi="Times New Roman" w:cs="Times New Roman"/>
          <w:sz w:val="24"/>
          <w:szCs w:val="24"/>
        </w:rPr>
      </w:pPr>
      <w:r>
        <w:rPr>
          <w:rStyle w:val="Heading60"/>
          <w:rFonts w:ascii="Times New Roman" w:hAnsi="Times New Roman" w:cs="Times New Roman"/>
          <w:i w:val="0"/>
          <w:sz w:val="24"/>
          <w:szCs w:val="24"/>
        </w:rPr>
        <w:t xml:space="preserve">Θέμα: «Εισήγηση </w:t>
      </w:r>
      <w:r w:rsidR="00AB6F1C" w:rsidRPr="008B4E71">
        <w:rPr>
          <w:rStyle w:val="Heading60"/>
          <w:rFonts w:ascii="Times New Roman" w:hAnsi="Times New Roman" w:cs="Times New Roman"/>
          <w:i w:val="0"/>
          <w:sz w:val="24"/>
          <w:szCs w:val="24"/>
        </w:rPr>
        <w:t xml:space="preserve">για την </w:t>
      </w:r>
      <w:r w:rsidR="005B24D4">
        <w:rPr>
          <w:rStyle w:val="Heading60"/>
          <w:rFonts w:ascii="Times New Roman" w:hAnsi="Times New Roman" w:cs="Times New Roman"/>
          <w:i w:val="0"/>
          <w:sz w:val="24"/>
          <w:szCs w:val="24"/>
        </w:rPr>
        <w:t xml:space="preserve">ολική ή μερική διαγραφή, ή την </w:t>
      </w:r>
      <w:r w:rsidR="00AB6F1C" w:rsidRPr="008B4E71">
        <w:rPr>
          <w:rStyle w:val="Heading60"/>
          <w:rFonts w:ascii="Times New Roman" w:hAnsi="Times New Roman" w:cs="Times New Roman"/>
          <w:i w:val="0"/>
          <w:sz w:val="24"/>
          <w:szCs w:val="24"/>
        </w:rPr>
        <w:t xml:space="preserve">μη διαγραφή των προσαυξήσεων από </w:t>
      </w:r>
      <w:r w:rsidR="00020BCF" w:rsidRPr="008B4E71">
        <w:rPr>
          <w:rStyle w:val="Heading60"/>
          <w:rFonts w:ascii="Times New Roman" w:hAnsi="Times New Roman" w:cs="Times New Roman"/>
          <w:i w:val="0"/>
          <w:sz w:val="24"/>
          <w:szCs w:val="24"/>
        </w:rPr>
        <w:t>βεβαιωτικό κατάλογο</w:t>
      </w:r>
      <w:r w:rsidR="00AB6F1C" w:rsidRPr="008B4E71">
        <w:rPr>
          <w:rStyle w:val="Heading60"/>
          <w:rFonts w:ascii="Times New Roman" w:hAnsi="Times New Roman" w:cs="Times New Roman"/>
          <w:i w:val="0"/>
          <w:sz w:val="24"/>
          <w:szCs w:val="24"/>
        </w:rPr>
        <w:t xml:space="preserve"> του Δήμου Μοσχάτου – Ταύρου</w:t>
      </w:r>
    </w:p>
    <w:p w:rsidR="00090CD3" w:rsidRDefault="00090CD3" w:rsidP="00AB6F1C">
      <w:pPr>
        <w:spacing w:after="120"/>
        <w:jc w:val="both"/>
        <w:rPr>
          <w:rStyle w:val="Heading60"/>
          <w:rFonts w:ascii="Times New Roman" w:hAnsi="Times New Roman" w:cs="Times New Roman"/>
          <w:b w:val="0"/>
          <w:sz w:val="24"/>
          <w:szCs w:val="24"/>
        </w:rPr>
      </w:pPr>
    </w:p>
    <w:p w:rsidR="00AB6F1C" w:rsidRPr="00D3255B" w:rsidRDefault="00AB6F1C" w:rsidP="00AB6F1C">
      <w:pPr>
        <w:spacing w:after="120"/>
        <w:jc w:val="both"/>
        <w:rPr>
          <w:rFonts w:ascii="Times New Roman" w:hAnsi="Times New Roman" w:cs="Times New Roman"/>
          <w:sz w:val="24"/>
          <w:szCs w:val="24"/>
        </w:rPr>
      </w:pPr>
      <w:r w:rsidRPr="00D3255B">
        <w:rPr>
          <w:rStyle w:val="Heading60"/>
          <w:rFonts w:ascii="Times New Roman" w:hAnsi="Times New Roman" w:cs="Times New Roman"/>
          <w:b w:val="0"/>
          <w:sz w:val="24"/>
          <w:szCs w:val="24"/>
        </w:rPr>
        <w:t>Έχοντας υπόψη,</w:t>
      </w:r>
    </w:p>
    <w:p w:rsidR="00AB6F1C" w:rsidRPr="00C87A7E" w:rsidRDefault="00AB6F1C" w:rsidP="00C87A7E">
      <w:pPr>
        <w:pStyle w:val="a4"/>
        <w:numPr>
          <w:ilvl w:val="0"/>
          <w:numId w:val="3"/>
        </w:numPr>
        <w:spacing w:after="120"/>
        <w:ind w:left="-284" w:hanging="425"/>
        <w:jc w:val="both"/>
        <w:rPr>
          <w:rFonts w:ascii="Times New Roman" w:hAnsi="Times New Roman" w:cs="Times New Roman"/>
        </w:rPr>
      </w:pPr>
      <w:r w:rsidRPr="00C87A7E">
        <w:rPr>
          <w:rFonts w:ascii="Times New Roman" w:hAnsi="Times New Roman" w:cs="Times New Roman"/>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rsidR="00AB6F1C" w:rsidRPr="008B4E71" w:rsidRDefault="001F536D" w:rsidP="00C87A7E">
      <w:pPr>
        <w:spacing w:after="120"/>
        <w:ind w:left="360" w:hanging="360"/>
        <w:jc w:val="both"/>
        <w:rPr>
          <w:rFonts w:ascii="Times New Roman" w:hAnsi="Times New Roman" w:cs="Times New Roman"/>
          <w:bCs/>
          <w:i/>
          <w:sz w:val="24"/>
          <w:szCs w:val="24"/>
        </w:rPr>
      </w:pPr>
      <w:r w:rsidRPr="008B4E71">
        <w:rPr>
          <w:rFonts w:ascii="Times New Roman" w:hAnsi="Times New Roman" w:cs="Times New Roman"/>
          <w:bCs/>
          <w:i/>
          <w:sz w:val="24"/>
          <w:szCs w:val="24"/>
        </w:rPr>
        <w:t>«</w:t>
      </w:r>
      <w:r w:rsidR="00AB6F1C" w:rsidRPr="008B4E71">
        <w:rPr>
          <w:rFonts w:ascii="Times New Roman" w:hAnsi="Times New Roman" w:cs="Times New Roman"/>
          <w:bCs/>
          <w:i/>
          <w:sz w:val="24"/>
          <w:szCs w:val="24"/>
        </w:rPr>
        <w:t>α) Όταν οι οφειλέτες απεβίωσαν χωρίς να αφήσουν περιουσία ή οι κληρονόμοι τους  αποποιήθηκαν την κληρονομιά.</w:t>
      </w:r>
    </w:p>
    <w:p w:rsidR="00AB6F1C" w:rsidRPr="008B4E71" w:rsidRDefault="00AB6F1C" w:rsidP="00C87A7E">
      <w:pPr>
        <w:spacing w:after="120"/>
        <w:ind w:left="360" w:hanging="360"/>
        <w:jc w:val="both"/>
        <w:rPr>
          <w:rFonts w:ascii="Times New Roman" w:hAnsi="Times New Roman" w:cs="Times New Roman"/>
          <w:bCs/>
          <w:i/>
          <w:sz w:val="24"/>
          <w:szCs w:val="24"/>
        </w:rPr>
      </w:pPr>
      <w:r w:rsidRPr="008B4E71">
        <w:rPr>
          <w:rFonts w:ascii="Times New Roman" w:hAnsi="Times New Roman" w:cs="Times New Roman"/>
          <w:bCs/>
          <w:i/>
          <w:sz w:val="24"/>
          <w:szCs w:val="24"/>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AB6F1C" w:rsidRPr="008B4E71" w:rsidRDefault="00AB6F1C" w:rsidP="00C87A7E">
      <w:pPr>
        <w:spacing w:after="120"/>
        <w:ind w:left="360" w:hanging="360"/>
        <w:jc w:val="both"/>
        <w:rPr>
          <w:rFonts w:ascii="Times New Roman" w:hAnsi="Times New Roman" w:cs="Times New Roman"/>
          <w:bCs/>
          <w:i/>
          <w:sz w:val="24"/>
          <w:szCs w:val="24"/>
        </w:rPr>
      </w:pPr>
      <w:r w:rsidRPr="008B4E71">
        <w:rPr>
          <w:rFonts w:ascii="Times New Roman" w:hAnsi="Times New Roman" w:cs="Times New Roman"/>
          <w:bCs/>
          <w:i/>
          <w:sz w:val="24"/>
          <w:szCs w:val="24"/>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AB6F1C" w:rsidRDefault="00AB6F1C" w:rsidP="00C87A7E">
      <w:pPr>
        <w:spacing w:after="120"/>
        <w:ind w:left="360" w:hanging="360"/>
        <w:jc w:val="both"/>
        <w:rPr>
          <w:rFonts w:ascii="Times New Roman" w:hAnsi="Times New Roman" w:cs="Times New Roman"/>
          <w:bCs/>
          <w:i/>
          <w:sz w:val="24"/>
          <w:szCs w:val="24"/>
        </w:rPr>
      </w:pPr>
      <w:r w:rsidRPr="008B4E71">
        <w:rPr>
          <w:rFonts w:ascii="Times New Roman" w:hAnsi="Times New Roman" w:cs="Times New Roman"/>
          <w:bCs/>
          <w:i/>
          <w:sz w:val="24"/>
          <w:szCs w:val="24"/>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r w:rsidR="001F536D" w:rsidRPr="008B4E71">
        <w:rPr>
          <w:rFonts w:ascii="Times New Roman" w:hAnsi="Times New Roman" w:cs="Times New Roman"/>
          <w:bCs/>
          <w:i/>
          <w:sz w:val="24"/>
          <w:szCs w:val="24"/>
        </w:rPr>
        <w:t>»</w:t>
      </w:r>
    </w:p>
    <w:p w:rsidR="00090CD3" w:rsidRPr="008B4E71" w:rsidRDefault="00090CD3" w:rsidP="00C87A7E">
      <w:pPr>
        <w:spacing w:after="120"/>
        <w:ind w:left="360" w:hanging="360"/>
        <w:jc w:val="both"/>
        <w:rPr>
          <w:rFonts w:ascii="Times New Roman" w:hAnsi="Times New Roman" w:cs="Times New Roman"/>
          <w:bCs/>
          <w:i/>
          <w:sz w:val="24"/>
          <w:szCs w:val="24"/>
        </w:rPr>
      </w:pPr>
    </w:p>
    <w:p w:rsidR="00AB6F1C" w:rsidRPr="00C87A7E" w:rsidRDefault="00AB6F1C" w:rsidP="00C87A7E">
      <w:pPr>
        <w:pStyle w:val="a4"/>
        <w:numPr>
          <w:ilvl w:val="0"/>
          <w:numId w:val="3"/>
        </w:numPr>
        <w:spacing w:after="120"/>
        <w:ind w:left="-284"/>
        <w:jc w:val="both"/>
        <w:rPr>
          <w:rFonts w:ascii="Times New Roman" w:hAnsi="Times New Roman" w:cs="Times New Roman"/>
        </w:rPr>
      </w:pPr>
      <w:r w:rsidRPr="00C87A7E">
        <w:rPr>
          <w:rFonts w:ascii="Times New Roman" w:hAnsi="Times New Roman" w:cs="Times New Roman"/>
          <w:bCs/>
        </w:rPr>
        <w:t>Την παράγραφο 3 του άρθρου 174 του Ν.3463/06 «</w:t>
      </w:r>
      <w:r w:rsidRPr="00C87A7E">
        <w:rPr>
          <w:rFonts w:ascii="Times New Roman" w:hAnsi="Times New Roman" w:cs="Times New Roman"/>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AB6F1C" w:rsidRPr="008B4E71" w:rsidRDefault="000E4401" w:rsidP="00C87A7E">
      <w:pPr>
        <w:spacing w:after="120"/>
        <w:ind w:left="-284" w:hanging="142"/>
        <w:jc w:val="both"/>
        <w:rPr>
          <w:rFonts w:ascii="Times New Roman" w:hAnsi="Times New Roman" w:cs="Times New Roman"/>
          <w:bCs/>
          <w:i/>
          <w:sz w:val="24"/>
          <w:szCs w:val="24"/>
        </w:rPr>
      </w:pPr>
      <w:r w:rsidRPr="008B4E71">
        <w:rPr>
          <w:rFonts w:ascii="Times New Roman" w:hAnsi="Times New Roman" w:cs="Times New Roman"/>
          <w:bCs/>
          <w:i/>
          <w:sz w:val="24"/>
          <w:szCs w:val="24"/>
        </w:rPr>
        <w:lastRenderedPageBreak/>
        <w:t>«</w:t>
      </w:r>
      <w:r w:rsidR="00AB6F1C" w:rsidRPr="008B4E71">
        <w:rPr>
          <w:rFonts w:ascii="Times New Roman" w:hAnsi="Times New Roman" w:cs="Times New Roman"/>
          <w:bCs/>
          <w:i/>
          <w:sz w:val="24"/>
          <w:szCs w:val="24"/>
        </w:rPr>
        <w:t>α) στη μη επίδοση της ατομικής ειδοποίησης.</w:t>
      </w:r>
    </w:p>
    <w:p w:rsidR="00AB6F1C" w:rsidRPr="008B4E71" w:rsidRDefault="00AB6F1C" w:rsidP="00C87A7E">
      <w:pPr>
        <w:spacing w:after="120"/>
        <w:ind w:left="-284" w:hanging="142"/>
        <w:jc w:val="both"/>
        <w:rPr>
          <w:rFonts w:ascii="Times New Roman" w:hAnsi="Times New Roman" w:cs="Times New Roman"/>
          <w:b/>
          <w:bCs/>
          <w:i/>
          <w:sz w:val="24"/>
          <w:szCs w:val="24"/>
        </w:rPr>
      </w:pPr>
      <w:r w:rsidRPr="008B4E71">
        <w:rPr>
          <w:rFonts w:ascii="Times New Roman" w:hAnsi="Times New Roman" w:cs="Times New Roman"/>
          <w:b/>
          <w:bCs/>
          <w:i/>
          <w:sz w:val="24"/>
          <w:szCs w:val="24"/>
        </w:rPr>
        <w:t>β) σε οικονομική αδυναμία που προήλθε από γεγονότα ανωτέρας βίας.</w:t>
      </w:r>
    </w:p>
    <w:p w:rsidR="00AB6F1C" w:rsidRPr="008B4E71" w:rsidRDefault="00AB6F1C" w:rsidP="00C87A7E">
      <w:pPr>
        <w:spacing w:after="120"/>
        <w:ind w:left="-284" w:hanging="142"/>
        <w:jc w:val="both"/>
        <w:rPr>
          <w:rFonts w:ascii="Times New Roman" w:hAnsi="Times New Roman" w:cs="Times New Roman"/>
          <w:bCs/>
          <w:i/>
          <w:sz w:val="24"/>
          <w:szCs w:val="24"/>
        </w:rPr>
      </w:pPr>
      <w:r w:rsidRPr="008B4E71">
        <w:rPr>
          <w:rFonts w:ascii="Times New Roman" w:hAnsi="Times New Roman" w:cs="Times New Roman"/>
          <w:bCs/>
          <w:i/>
          <w:sz w:val="24"/>
          <w:szCs w:val="24"/>
        </w:rPr>
        <w:t>γ) σε υπαιτιότητα της υπηρεσίας.</w:t>
      </w:r>
    </w:p>
    <w:p w:rsidR="00AB6F1C" w:rsidRPr="008B4E71" w:rsidRDefault="00AB6F1C" w:rsidP="00C87A7E">
      <w:pPr>
        <w:spacing w:after="120"/>
        <w:ind w:left="-426"/>
        <w:jc w:val="both"/>
        <w:rPr>
          <w:rFonts w:ascii="Times New Roman" w:hAnsi="Times New Roman" w:cs="Times New Roman"/>
          <w:i/>
          <w:sz w:val="24"/>
          <w:szCs w:val="24"/>
        </w:rPr>
      </w:pPr>
      <w:r w:rsidRPr="008B4E71">
        <w:rPr>
          <w:rFonts w:ascii="Times New Roman" w:hAnsi="Times New Roman" w:cs="Times New Roman"/>
          <w:i/>
          <w:sz w:val="24"/>
          <w:szCs w:val="24"/>
        </w:rPr>
        <w:t>Η απόφαση του συμβουλίου εκδίδεται ύστερα από αίτηση του οφειλέτη. Στις περιπτώσεις α΄ και γ΄ απαιτείται και η γνώμη της ταμειακής υπηρεσίας.</w:t>
      </w:r>
      <w:r w:rsidR="000E4401" w:rsidRPr="008B4E71">
        <w:rPr>
          <w:rFonts w:ascii="Times New Roman" w:hAnsi="Times New Roman" w:cs="Times New Roman"/>
          <w:i/>
          <w:sz w:val="24"/>
          <w:szCs w:val="24"/>
        </w:rPr>
        <w:t>»</w:t>
      </w:r>
    </w:p>
    <w:p w:rsidR="00AB6F1C" w:rsidRPr="008B4E71" w:rsidRDefault="00AB6F1C" w:rsidP="00B51E53">
      <w:pPr>
        <w:pStyle w:val="Web"/>
        <w:numPr>
          <w:ilvl w:val="0"/>
          <w:numId w:val="3"/>
        </w:numPr>
        <w:shd w:val="clear" w:color="auto" w:fill="FFFFFF"/>
        <w:spacing w:line="360" w:lineRule="auto"/>
        <w:jc w:val="both"/>
        <w:rPr>
          <w:i/>
        </w:rPr>
      </w:pPr>
      <w:r w:rsidRPr="008B4E71">
        <w:t xml:space="preserve">Τις διατάξεις του άρθρου 72 του Ν.3852/10, όπως </w:t>
      </w:r>
      <w:r w:rsidR="000E4401" w:rsidRPr="008B4E71">
        <w:t>τροποποιήθηκε με το άρθρο 40</w:t>
      </w:r>
      <w:r w:rsidR="00C518A7" w:rsidRPr="008B4E71">
        <w:t xml:space="preserve"> παρ.1</w:t>
      </w:r>
      <w:r w:rsidRPr="008B4E71">
        <w:t xml:space="preserve"> του Ν.</w:t>
      </w:r>
      <w:r w:rsidR="005B585E">
        <w:t xml:space="preserve"> </w:t>
      </w:r>
      <w:r w:rsidR="000E4401" w:rsidRPr="008B4E71">
        <w:t>4735/2020</w:t>
      </w:r>
      <w:r w:rsidRPr="008B4E71">
        <w:t xml:space="preserve">, σύμφωνα με τις οποίες </w:t>
      </w:r>
      <w:r w:rsidR="00096C37" w:rsidRPr="008B4E71">
        <w:t>«</w:t>
      </w:r>
      <w:r w:rsidRPr="008B4E71">
        <w:rPr>
          <w:bCs/>
          <w:i/>
        </w:rPr>
        <w:t>η Οικονομική Επιτροπή αποφασίζει για</w:t>
      </w:r>
      <w:r w:rsidRPr="008B4E71">
        <w:rPr>
          <w:i/>
        </w:rPr>
        <w:t xml:space="preserve"> τη διαγραφή χρεών και την απαλλαγή από προσαυξήσεις κατά το άρθρο 174 του Κώδικα Δήμων και Κοινοτήτων</w:t>
      </w:r>
      <w:r w:rsidR="00096C37" w:rsidRPr="008B4E71">
        <w:rPr>
          <w:i/>
        </w:rPr>
        <w:t>»</w:t>
      </w:r>
      <w:r w:rsidRPr="008B4E71">
        <w:rPr>
          <w:i/>
        </w:rPr>
        <w:t>.</w:t>
      </w:r>
    </w:p>
    <w:p w:rsidR="00AB6F1C" w:rsidRPr="00B51E53" w:rsidRDefault="00AB6F1C" w:rsidP="00B51E53">
      <w:pPr>
        <w:pStyle w:val="a4"/>
        <w:numPr>
          <w:ilvl w:val="0"/>
          <w:numId w:val="3"/>
        </w:numPr>
        <w:spacing w:after="120"/>
        <w:jc w:val="both"/>
        <w:rPr>
          <w:rFonts w:ascii="Times New Roman" w:hAnsi="Times New Roman" w:cs="Times New Roman"/>
          <w:bCs/>
        </w:rPr>
      </w:pPr>
      <w:r w:rsidRPr="00B51E53">
        <w:rPr>
          <w:rFonts w:ascii="Times New Roman" w:hAnsi="Times New Roman" w:cs="Times New Roman"/>
          <w:bCs/>
        </w:rPr>
        <w:t xml:space="preserve">Την υπ΄ αριθμόν </w:t>
      </w:r>
      <w:r w:rsidR="00C518A7" w:rsidRPr="00B51E53">
        <w:rPr>
          <w:rFonts w:ascii="Times New Roman" w:hAnsi="Times New Roman" w:cs="Times New Roman"/>
          <w:bCs/>
        </w:rPr>
        <w:t xml:space="preserve">10245/29.06.2021 </w:t>
      </w:r>
      <w:r w:rsidRPr="00B51E53">
        <w:rPr>
          <w:rFonts w:ascii="Times New Roman" w:hAnsi="Times New Roman" w:cs="Times New Roman"/>
        </w:rPr>
        <w:t xml:space="preserve">αίτηση </w:t>
      </w:r>
      <w:r w:rsidR="00647262" w:rsidRPr="00B51E53">
        <w:rPr>
          <w:rFonts w:ascii="Times New Roman" w:hAnsi="Times New Roman" w:cs="Times New Roman"/>
        </w:rPr>
        <w:t xml:space="preserve">της  </w:t>
      </w:r>
      <w:r w:rsidR="008B3F56">
        <w:rPr>
          <w:rFonts w:ascii="Times New Roman" w:hAnsi="Times New Roman" w:cs="Times New Roman"/>
        </w:rPr>
        <w:t>Π….. Π…….</w:t>
      </w:r>
      <w:r w:rsidR="00647262" w:rsidRPr="00B51E53">
        <w:rPr>
          <w:rFonts w:ascii="Times New Roman" w:hAnsi="Times New Roman" w:cs="Times New Roman"/>
        </w:rPr>
        <w:t xml:space="preserve">  </w:t>
      </w:r>
      <w:r w:rsidR="00871039" w:rsidRPr="00B51E53">
        <w:rPr>
          <w:rFonts w:ascii="Times New Roman" w:hAnsi="Times New Roman" w:cs="Times New Roman"/>
        </w:rPr>
        <w:t xml:space="preserve">με </w:t>
      </w:r>
      <w:r w:rsidR="00647262" w:rsidRPr="00B51E53">
        <w:rPr>
          <w:rFonts w:ascii="Times New Roman" w:hAnsi="Times New Roman" w:cs="Times New Roman"/>
        </w:rPr>
        <w:t>την οποία ζητά την διαγραφή των προσαυξήσεων και δηλώνει ότι προτίθεται να αποπληρώσει το αρχικό ποσό της οφειλής άτοκα</w:t>
      </w:r>
      <w:r w:rsidR="005B585E" w:rsidRPr="00B51E53">
        <w:rPr>
          <w:rFonts w:ascii="Times New Roman" w:hAnsi="Times New Roman" w:cs="Times New Roman"/>
        </w:rPr>
        <w:t>.</w:t>
      </w:r>
    </w:p>
    <w:p w:rsidR="00C518A7" w:rsidRPr="008B4E71" w:rsidRDefault="00C518A7" w:rsidP="00AB6F1C">
      <w:pPr>
        <w:pStyle w:val="a4"/>
        <w:spacing w:after="120" w:line="276" w:lineRule="auto"/>
        <w:jc w:val="both"/>
        <w:rPr>
          <w:rFonts w:ascii="Times New Roman" w:hAnsi="Times New Roman" w:cs="Times New Roman"/>
          <w:bCs/>
        </w:rPr>
      </w:pPr>
    </w:p>
    <w:p w:rsidR="00035C6D" w:rsidRDefault="00035C6D" w:rsidP="00AB6F1C">
      <w:pPr>
        <w:pStyle w:val="a4"/>
        <w:spacing w:after="120" w:line="276" w:lineRule="auto"/>
        <w:jc w:val="both"/>
        <w:rPr>
          <w:rFonts w:ascii="Times New Roman" w:hAnsi="Times New Roman" w:cs="Times New Roman"/>
          <w:bCs/>
        </w:rPr>
      </w:pPr>
    </w:p>
    <w:p w:rsidR="00AB6F1C" w:rsidRPr="008B4E71" w:rsidRDefault="00AB6F1C" w:rsidP="00B51E53">
      <w:pPr>
        <w:pStyle w:val="a4"/>
        <w:spacing w:after="120" w:line="276" w:lineRule="auto"/>
        <w:ind w:left="-709"/>
        <w:jc w:val="both"/>
        <w:rPr>
          <w:rFonts w:ascii="Times New Roman" w:hAnsi="Times New Roman" w:cs="Times New Roman"/>
        </w:rPr>
      </w:pPr>
      <w:r w:rsidRPr="008B4E71">
        <w:rPr>
          <w:rFonts w:ascii="Times New Roman" w:hAnsi="Times New Roman" w:cs="Times New Roman"/>
          <w:bCs/>
        </w:rPr>
        <w:t>Σύμφωνα με τα στοιχεία της ταμειακής υπηρεσίας οι οφειλές της σήμερα,  είναι οι παρακάτω:</w:t>
      </w:r>
    </w:p>
    <w:p w:rsidR="00AB6F1C" w:rsidRPr="008B4E71" w:rsidRDefault="00AB6F1C" w:rsidP="00AB6F1C">
      <w:pPr>
        <w:pStyle w:val="a4"/>
        <w:spacing w:after="120" w:line="276" w:lineRule="auto"/>
        <w:jc w:val="both"/>
        <w:rPr>
          <w:rFonts w:ascii="Times New Roman" w:hAnsi="Times New Roman" w:cs="Times New Roman"/>
        </w:rPr>
      </w:pPr>
    </w:p>
    <w:p w:rsidR="00AB6F1C" w:rsidRPr="008B4E71" w:rsidRDefault="00AB6F1C" w:rsidP="00C518A7">
      <w:pPr>
        <w:pStyle w:val="a4"/>
        <w:numPr>
          <w:ilvl w:val="0"/>
          <w:numId w:val="2"/>
        </w:numPr>
        <w:spacing w:after="120" w:line="276" w:lineRule="auto"/>
        <w:jc w:val="both"/>
        <w:rPr>
          <w:rFonts w:ascii="Times New Roman" w:hAnsi="Times New Roman" w:cs="Times New Roman"/>
        </w:rPr>
      </w:pPr>
      <w:r w:rsidRPr="008B4E71">
        <w:rPr>
          <w:rFonts w:ascii="Times New Roman" w:hAnsi="Times New Roman" w:cs="Times New Roman"/>
        </w:rPr>
        <w:t>Από τον</w:t>
      </w:r>
      <w:r w:rsidR="00C518A7" w:rsidRPr="008B4E71">
        <w:rPr>
          <w:rFonts w:ascii="Times New Roman" w:hAnsi="Times New Roman" w:cs="Times New Roman"/>
        </w:rPr>
        <w:t xml:space="preserve"> βεβαιωτικό κατάλογο  12/14.05.2018 </w:t>
      </w:r>
    </w:p>
    <w:p w:rsidR="005B585E" w:rsidRDefault="00C518A7" w:rsidP="00C518A7">
      <w:pPr>
        <w:pStyle w:val="a4"/>
        <w:spacing w:after="120" w:line="276" w:lineRule="auto"/>
        <w:jc w:val="both"/>
        <w:rPr>
          <w:rFonts w:ascii="Times New Roman" w:hAnsi="Times New Roman" w:cs="Times New Roman"/>
          <w:color w:val="auto"/>
        </w:rPr>
      </w:pPr>
      <w:r w:rsidRPr="005B585E">
        <w:rPr>
          <w:rFonts w:ascii="Times New Roman" w:hAnsi="Times New Roman" w:cs="Times New Roman"/>
          <w:color w:val="auto"/>
        </w:rPr>
        <w:t>Αρχικό</w:t>
      </w:r>
      <w:r w:rsidR="005B585E">
        <w:rPr>
          <w:rFonts w:ascii="Times New Roman" w:hAnsi="Times New Roman" w:cs="Times New Roman"/>
          <w:color w:val="auto"/>
        </w:rPr>
        <w:t xml:space="preserve"> ποσό 4.355,00€  </w:t>
      </w:r>
    </w:p>
    <w:p w:rsidR="00C518A7" w:rsidRPr="005B585E" w:rsidRDefault="005B585E" w:rsidP="00C518A7">
      <w:pPr>
        <w:pStyle w:val="a4"/>
        <w:spacing w:after="120" w:line="276" w:lineRule="auto"/>
        <w:jc w:val="both"/>
        <w:rPr>
          <w:rFonts w:ascii="Times New Roman" w:hAnsi="Times New Roman" w:cs="Times New Roman"/>
          <w:color w:val="auto"/>
        </w:rPr>
      </w:pPr>
      <w:r>
        <w:rPr>
          <w:rFonts w:ascii="Times New Roman" w:hAnsi="Times New Roman" w:cs="Times New Roman"/>
          <w:color w:val="auto"/>
        </w:rPr>
        <w:t>προσαυξήσεις έως και σήμερα 7/10/21 ποσού 1235,43€.</w:t>
      </w:r>
    </w:p>
    <w:p w:rsidR="00AB6F1C" w:rsidRPr="008B4E71" w:rsidRDefault="00AB6F1C" w:rsidP="00AB6F1C">
      <w:pPr>
        <w:spacing w:after="120"/>
        <w:jc w:val="both"/>
        <w:rPr>
          <w:rFonts w:ascii="Times New Roman" w:hAnsi="Times New Roman" w:cs="Times New Roman"/>
          <w:color w:val="FF0000"/>
        </w:rPr>
      </w:pPr>
    </w:p>
    <w:p w:rsidR="005B585E" w:rsidRPr="005B585E" w:rsidRDefault="00AB6F1C" w:rsidP="00B51E53">
      <w:pPr>
        <w:pStyle w:val="a4"/>
        <w:spacing w:after="120" w:line="276" w:lineRule="auto"/>
        <w:ind w:left="-709"/>
        <w:jc w:val="both"/>
        <w:rPr>
          <w:rFonts w:ascii="Times New Roman" w:hAnsi="Times New Roman" w:cs="Times New Roman"/>
          <w:color w:val="auto"/>
        </w:rPr>
      </w:pPr>
      <w:r w:rsidRPr="008B4E71">
        <w:rPr>
          <w:rFonts w:ascii="Times New Roman" w:hAnsi="Times New Roman" w:cs="Times New Roman"/>
        </w:rPr>
        <w:t>Παρακαλούμε εσάς και τα μέλη της Οικονομικής Επιτροπής να αποφασίσετε σχετικά με την ολικ</w:t>
      </w:r>
      <w:r w:rsidR="007D6AC9">
        <w:rPr>
          <w:rFonts w:ascii="Times New Roman" w:hAnsi="Times New Roman" w:cs="Times New Roman"/>
        </w:rPr>
        <w:t xml:space="preserve">ή ή μερική  διαγραφή, ή με την </w:t>
      </w:r>
      <w:r w:rsidRPr="008B4E71">
        <w:rPr>
          <w:rFonts w:ascii="Times New Roman" w:hAnsi="Times New Roman" w:cs="Times New Roman"/>
        </w:rPr>
        <w:t>μη διαγραφή των προσαυξήσεων εκπρόθεσμης καταβολής</w:t>
      </w:r>
      <w:r w:rsidR="005B585E">
        <w:rPr>
          <w:rFonts w:ascii="Times New Roman" w:hAnsi="Times New Roman" w:cs="Times New Roman"/>
        </w:rPr>
        <w:t xml:space="preserve"> </w:t>
      </w:r>
      <w:r w:rsidRPr="008B4E71">
        <w:rPr>
          <w:rFonts w:ascii="Times New Roman" w:hAnsi="Times New Roman" w:cs="Times New Roman"/>
        </w:rPr>
        <w:t xml:space="preserve"> </w:t>
      </w:r>
      <w:r w:rsidR="005B585E">
        <w:rPr>
          <w:rFonts w:ascii="Times New Roman" w:hAnsi="Times New Roman" w:cs="Times New Roman"/>
          <w:color w:val="auto"/>
        </w:rPr>
        <w:t xml:space="preserve">ποσού 1235,43€. </w:t>
      </w:r>
    </w:p>
    <w:p w:rsidR="00AB6F1C" w:rsidRPr="008B4E71" w:rsidRDefault="00D95E35" w:rsidP="005B585E">
      <w:pPr>
        <w:spacing w:after="120"/>
        <w:ind w:left="360" w:firstLine="360"/>
        <w:jc w:val="both"/>
        <w:rPr>
          <w:rFonts w:ascii="Times New Roman" w:hAnsi="Times New Roman" w:cs="Times New Roman"/>
        </w:rPr>
      </w:pPr>
      <w:r>
        <w:rPr>
          <w:rFonts w:ascii="Times New Roman" w:hAnsi="Times New Roman" w:cs="Times New Roman"/>
          <w:noProof/>
        </w:rPr>
        <w:pict>
          <v:shape id="Πλαίσιο κειμένου 2" o:spid="_x0000_s1028" type="#_x0000_t202" style="position:absolute;left:0;text-align:left;margin-left:248.7pt;margin-top:20.25pt;width:218.25pt;height:87.75pt;z-index:25166233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WHgUQIAAGUEAAAOAAAAZHJzL2Uyb0RvYy54bWysVM2O0zAQviPxDpbvND/bdrdR09XSpQhp&#10;+ZEWHsB1nMbCsY3tNlmuK96DF0CIAwf+tG+QfSXGTluqBS6IHKyxx/N55vtmMj1ta4E2zFiuZI6T&#10;QYwRk1QVXK5y/Orl4sEJRtYRWRChJMvxFbP4dHb/3rTRGUtVpUTBDAIQabNG57hyTmdRZGnFamIH&#10;SjMJzlKZmjjYmlVUGNIAei2iNI7HUaNMoY2izFo4Pe+deBbwy5JR97wsLXNI5Bhyc2E1YV36NZpN&#10;SbYyRFecbtMg/5BFTbiER/dQ58QRtDb8N6iaU6OsKt2AqjpSZckpCzVANUl8p5rLimgWagFyrN7T&#10;ZP8fLH22eWEQL3KcJscYSVKDSN377lv3qft4e9196W5Q97X7DMb37kP3o7u5fYdST1ujbQbRlxri&#10;XftQtSB/oMDqC0VfWyTVvCJyxc6MUU3FSAFpJz4yOgjtcawHWTZPVQGvk7VTAagtTe05BZYQoIN8&#10;V3vJWOsQhcP0aBxPjsBFwZcM4+E4DaJGJNuFa2PdY6Zq5I0cG+iJAE82F9b5dEi2u+Jfs0rwYsGF&#10;CBuzWs6FQRsC/bMIX6jgzjUhUZPjySgd9Qz8FSIO358gau5gEASvc3yyv0Qyz9sjWYQ2dYSL3oaU&#10;hdwS6bnrWXTtsu2l3OmzVMUVMGtU3/cwp2BUyrzFqIGez7F9syaGYSSeSFBnkgyHfkjCZjg6BiqR&#10;OfQsDz1EUoDKscOoN+cuDFbgTZ+Bigse+PVy95lsU4ZeDrRv584Py+E+3Pr1d5j9BAAA//8DAFBL&#10;AwQUAAYACAAAACEASFsnctsAAAAHAQAADwAAAGRycy9kb3ducmV2LnhtbEyPQU/DMAyF70j8h8hI&#10;3FiyAmMqTaepguukbUhcvSa0hcQpTdqVf485sZufn/Xe52IzeycmO8QukIblQoGwVAfTUaPh7fh6&#10;twYRE5JBF8hq+LERNuX1VYG5CWfa2+mQGsEhFHPU0KbU51LGurUe4yL0ltj7CIPHxHJopBnwzOHe&#10;yUyplfTYETe02NuqtfXXYfQaxmO1nfZV9vk+7czDbvWCHt231rc38/YZRLJz+j+GP3xGh5KZTmEk&#10;E4XTwI8kDdma+dm9f1rycOLFo1Igy0Je8pe/AAAA//8DAFBLAQItABQABgAIAAAAIQC2gziS/gAA&#10;AOEBAAATAAAAAAAAAAAAAAAAAAAAAABbQ29udGVudF9UeXBlc10ueG1sUEsBAi0AFAAGAAgAAAAh&#10;ADj9If/WAAAAlAEAAAsAAAAAAAAAAAAAAAAALwEAAF9yZWxzLy5yZWxzUEsBAi0AFAAGAAgAAAAh&#10;AC8BYeBRAgAAZQQAAA4AAAAAAAAAAAAAAAAALgIAAGRycy9lMm9Eb2MueG1sUEsBAi0AFAAGAAgA&#10;AAAhAEhbJ3LbAAAABwEAAA8AAAAAAAAAAAAAAAAAqwQAAGRycy9kb3ducmV2LnhtbFBLBQYAAAAA&#10;BAAEAPMAAACzBQAAAAA=&#10;">
            <v:textbox style="mso-next-textbox:#Πλαίσιο κειμένου 2">
              <w:txbxContent>
                <w:p w:rsidR="00AB6F1C" w:rsidRPr="00545DC7" w:rsidRDefault="005B585E" w:rsidP="00AB6F1C">
                  <w:pPr>
                    <w:jc w:val="center"/>
                    <w:rPr>
                      <w:rFonts w:cs="Arial"/>
                      <w:b/>
                    </w:rPr>
                  </w:pPr>
                  <w:r>
                    <w:rPr>
                      <w:rFonts w:cs="Arial"/>
                      <w:b/>
                    </w:rPr>
                    <w:t>Ο</w:t>
                  </w:r>
                  <w:r w:rsidR="00AB6F1C" w:rsidRPr="00545DC7">
                    <w:rPr>
                      <w:rFonts w:cs="Arial"/>
                      <w:b/>
                    </w:rPr>
                    <w:t xml:space="preserve"> ΠΡΟΪΣΤΑΜΕΝΗ ΤΗΣ ΟΙΚΟΝΟΜΙΚΗΣ ΥΠΗΡΕΣΙΑΣ</w:t>
                  </w:r>
                </w:p>
                <w:p w:rsidR="00282270" w:rsidRDefault="00282270" w:rsidP="00AB6F1C">
                  <w:pPr>
                    <w:jc w:val="center"/>
                    <w:rPr>
                      <w:rFonts w:cs="Arial"/>
                      <w:b/>
                    </w:rPr>
                  </w:pPr>
                </w:p>
                <w:p w:rsidR="00AB6F1C" w:rsidRPr="00282270" w:rsidRDefault="005B585E" w:rsidP="00AB6F1C">
                  <w:pPr>
                    <w:jc w:val="center"/>
                    <w:rPr>
                      <w:rFonts w:cs="Arial"/>
                    </w:rPr>
                  </w:pPr>
                  <w:r>
                    <w:rPr>
                      <w:rFonts w:cs="Arial"/>
                    </w:rPr>
                    <w:t xml:space="preserve">Αντώνης </w:t>
                  </w:r>
                  <w:proofErr w:type="spellStart"/>
                  <w:r>
                    <w:rPr>
                      <w:rFonts w:cs="Arial"/>
                    </w:rPr>
                    <w:t>Κούβαρης</w:t>
                  </w:r>
                  <w:proofErr w:type="spellEnd"/>
                </w:p>
                <w:p w:rsidR="00AB6F1C" w:rsidRDefault="00AB6F1C" w:rsidP="00AB6F1C">
                  <w:pPr>
                    <w:jc w:val="center"/>
                  </w:pPr>
                </w:p>
                <w:p w:rsidR="00AB6F1C" w:rsidRPr="00545DC7" w:rsidRDefault="00AB6F1C" w:rsidP="00AB6F1C">
                  <w:pPr>
                    <w:jc w:val="center"/>
                  </w:pPr>
                  <w:r w:rsidRPr="00545DC7">
                    <w:t>Δέσποινα Χαλκιοπούλου</w:t>
                  </w:r>
                </w:p>
              </w:txbxContent>
            </v:textbox>
            <w10:wrap type="square"/>
          </v:shape>
        </w:pict>
      </w:r>
      <w:r>
        <w:rPr>
          <w:rFonts w:ascii="Times New Roman" w:hAnsi="Times New Roman" w:cs="Times New Roman"/>
          <w:noProof/>
        </w:rPr>
        <w:pict>
          <v:shape id="_x0000_s1029" type="#_x0000_t202" style="position:absolute;left:0;text-align:left;margin-left:2.55pt;margin-top:20.25pt;width:210.75pt;height:87.75pt;z-index:251663360">
            <v:textbox style="mso-next-textbox:#_x0000_s1029">
              <w:txbxContent>
                <w:p w:rsidR="00AB6F1C" w:rsidRPr="00545DC7" w:rsidRDefault="00AB6F1C" w:rsidP="00AB6F1C">
                  <w:pPr>
                    <w:jc w:val="center"/>
                    <w:rPr>
                      <w:rFonts w:cs="Arial"/>
                      <w:b/>
                    </w:rPr>
                  </w:pPr>
                  <w:r w:rsidRPr="00545DC7">
                    <w:rPr>
                      <w:rFonts w:cs="Arial"/>
                      <w:b/>
                    </w:rPr>
                    <w:t>Η ΠΡΟΪΣΤΑΜΕΝΗ ΤΗΣ ΤΑΜΕΙΑΚΗΣ ΥΠΗΡΕΣΙΑΣ</w:t>
                  </w:r>
                </w:p>
                <w:p w:rsidR="00282270" w:rsidRDefault="00282270" w:rsidP="00AB6F1C">
                  <w:pPr>
                    <w:jc w:val="center"/>
                    <w:rPr>
                      <w:rFonts w:cs="Arial"/>
                      <w:b/>
                    </w:rPr>
                  </w:pPr>
                </w:p>
                <w:p w:rsidR="00AB6F1C" w:rsidRPr="00282270" w:rsidRDefault="005B585E" w:rsidP="00AB6F1C">
                  <w:pPr>
                    <w:jc w:val="center"/>
                    <w:rPr>
                      <w:rFonts w:cs="Arial"/>
                    </w:rPr>
                  </w:pPr>
                  <w:r>
                    <w:rPr>
                      <w:rFonts w:cs="Arial"/>
                    </w:rPr>
                    <w:t xml:space="preserve">Αθηνά </w:t>
                  </w:r>
                  <w:proofErr w:type="spellStart"/>
                  <w:r>
                    <w:rPr>
                      <w:rFonts w:cs="Arial"/>
                    </w:rPr>
                    <w:t>Γρηγοροπούλου</w:t>
                  </w:r>
                  <w:proofErr w:type="spellEnd"/>
                </w:p>
                <w:p w:rsidR="00AB6F1C" w:rsidRPr="00545DC7" w:rsidRDefault="00AB6F1C" w:rsidP="00AB6F1C">
                  <w:pPr>
                    <w:jc w:val="center"/>
                    <w:rPr>
                      <w:rFonts w:cs="Arial"/>
                      <w:b/>
                    </w:rPr>
                  </w:pPr>
                </w:p>
                <w:p w:rsidR="00AB6F1C" w:rsidRPr="00545DC7" w:rsidRDefault="00AB6F1C" w:rsidP="00AB6F1C">
                  <w:pPr>
                    <w:jc w:val="center"/>
                  </w:pPr>
                  <w:r w:rsidRPr="00545DC7">
                    <w:t>Σπυριδούλα Κουτσονικόλα</w:t>
                  </w:r>
                </w:p>
              </w:txbxContent>
            </v:textbox>
          </v:shape>
        </w:pict>
      </w:r>
    </w:p>
    <w:p w:rsidR="00AB6F1C" w:rsidRPr="008B4E71" w:rsidRDefault="00AB6F1C" w:rsidP="00AB6F1C">
      <w:pPr>
        <w:spacing w:after="120"/>
        <w:jc w:val="right"/>
        <w:rPr>
          <w:rFonts w:ascii="Times New Roman" w:hAnsi="Times New Roman" w:cs="Times New Roman"/>
          <w:b/>
        </w:rPr>
      </w:pPr>
    </w:p>
    <w:p w:rsidR="00AB6F1C" w:rsidRPr="008B4E71" w:rsidRDefault="00AB6F1C" w:rsidP="00AB6F1C">
      <w:pPr>
        <w:spacing w:after="120"/>
        <w:jc w:val="right"/>
        <w:rPr>
          <w:rFonts w:ascii="Times New Roman" w:hAnsi="Times New Roman" w:cs="Times New Roman"/>
          <w:b/>
        </w:rPr>
      </w:pPr>
    </w:p>
    <w:p w:rsidR="00AB6F1C" w:rsidRPr="008B4E71" w:rsidRDefault="00AB6F1C" w:rsidP="00AB6F1C">
      <w:pPr>
        <w:spacing w:after="120"/>
        <w:jc w:val="right"/>
        <w:rPr>
          <w:rFonts w:ascii="Times New Roman" w:hAnsi="Times New Roman" w:cs="Times New Roman"/>
          <w:b/>
          <w:szCs w:val="18"/>
          <w:shd w:val="clear" w:color="auto" w:fill="FFFFFF"/>
        </w:rPr>
      </w:pPr>
    </w:p>
    <w:p w:rsidR="00AB6F1C" w:rsidRPr="008B4E71" w:rsidRDefault="00AB6F1C" w:rsidP="00AB6F1C">
      <w:pPr>
        <w:spacing w:after="120"/>
        <w:jc w:val="right"/>
        <w:rPr>
          <w:rFonts w:ascii="Times New Roman" w:hAnsi="Times New Roman" w:cs="Times New Roman"/>
          <w:b/>
          <w:szCs w:val="18"/>
          <w:shd w:val="clear" w:color="auto" w:fill="FFFFFF"/>
        </w:rPr>
      </w:pPr>
    </w:p>
    <w:p w:rsidR="00AB6F1C" w:rsidRPr="008B4E71" w:rsidRDefault="00AB6F1C" w:rsidP="00AB6F1C">
      <w:pPr>
        <w:spacing w:after="120"/>
        <w:jc w:val="right"/>
        <w:rPr>
          <w:rFonts w:ascii="Times New Roman" w:hAnsi="Times New Roman" w:cs="Times New Roman"/>
          <w:b/>
          <w:szCs w:val="18"/>
          <w:shd w:val="clear" w:color="auto" w:fill="FFFFFF"/>
        </w:rPr>
      </w:pPr>
    </w:p>
    <w:p w:rsidR="00AB6F1C" w:rsidRDefault="00AB6F1C" w:rsidP="00AB6F1C">
      <w:pPr>
        <w:spacing w:after="120"/>
        <w:rPr>
          <w:rFonts w:ascii="Times New Roman" w:hAnsi="Times New Roman" w:cs="Times New Roman"/>
          <w:b/>
          <w:szCs w:val="18"/>
          <w:shd w:val="clear" w:color="auto" w:fill="FFFFFF"/>
        </w:rPr>
      </w:pPr>
      <w:r w:rsidRPr="008B4E71">
        <w:rPr>
          <w:rFonts w:ascii="Times New Roman" w:hAnsi="Times New Roman" w:cs="Times New Roman"/>
          <w:b/>
          <w:szCs w:val="18"/>
          <w:shd w:val="clear" w:color="auto" w:fill="FFFFFF"/>
        </w:rPr>
        <w:t>Συνημμένα:</w:t>
      </w:r>
    </w:p>
    <w:p w:rsidR="00F91419" w:rsidRPr="00282270" w:rsidRDefault="00073267" w:rsidP="00F91419">
      <w:pPr>
        <w:pStyle w:val="a4"/>
        <w:numPr>
          <w:ilvl w:val="0"/>
          <w:numId w:val="2"/>
        </w:numPr>
        <w:spacing w:after="120"/>
        <w:rPr>
          <w:rFonts w:ascii="Times New Roman" w:hAnsi="Times New Roman" w:cs="Times New Roman"/>
          <w:szCs w:val="18"/>
          <w:shd w:val="clear" w:color="auto" w:fill="FFFFFF"/>
        </w:rPr>
      </w:pPr>
      <w:r w:rsidRPr="00282270">
        <w:rPr>
          <w:rFonts w:ascii="Times New Roman" w:hAnsi="Times New Roman" w:cs="Times New Roman"/>
          <w:szCs w:val="18"/>
          <w:shd w:val="clear" w:color="auto" w:fill="FFFFFF"/>
        </w:rPr>
        <w:t xml:space="preserve">Αίτηση της </w:t>
      </w:r>
      <w:r w:rsidR="00AD4DDC">
        <w:rPr>
          <w:rFonts w:ascii="Times New Roman" w:hAnsi="Times New Roman" w:cs="Times New Roman"/>
          <w:szCs w:val="18"/>
          <w:shd w:val="clear" w:color="auto" w:fill="FFFFFF"/>
        </w:rPr>
        <w:t>οφειλέτριας</w:t>
      </w:r>
    </w:p>
    <w:p w:rsidR="00073267" w:rsidRPr="00282270" w:rsidRDefault="00073267" w:rsidP="00F91419">
      <w:pPr>
        <w:pStyle w:val="a4"/>
        <w:numPr>
          <w:ilvl w:val="0"/>
          <w:numId w:val="2"/>
        </w:numPr>
        <w:spacing w:after="120"/>
        <w:rPr>
          <w:rFonts w:ascii="Times New Roman" w:hAnsi="Times New Roman" w:cs="Times New Roman"/>
          <w:szCs w:val="18"/>
          <w:shd w:val="clear" w:color="auto" w:fill="FFFFFF"/>
        </w:rPr>
      </w:pPr>
      <w:r w:rsidRPr="00282270">
        <w:rPr>
          <w:rFonts w:ascii="Times New Roman" w:hAnsi="Times New Roman" w:cs="Times New Roman"/>
          <w:szCs w:val="18"/>
          <w:shd w:val="clear" w:color="auto" w:fill="FFFFFF"/>
        </w:rPr>
        <w:t>Πιστοποίηση αναπηρίας</w:t>
      </w:r>
    </w:p>
    <w:p w:rsidR="00073267" w:rsidRDefault="00073267" w:rsidP="00F91419">
      <w:pPr>
        <w:pStyle w:val="a4"/>
        <w:numPr>
          <w:ilvl w:val="0"/>
          <w:numId w:val="2"/>
        </w:numPr>
        <w:spacing w:after="120"/>
        <w:rPr>
          <w:rFonts w:ascii="Times New Roman" w:hAnsi="Times New Roman" w:cs="Times New Roman"/>
          <w:szCs w:val="18"/>
          <w:shd w:val="clear" w:color="auto" w:fill="FFFFFF"/>
        </w:rPr>
      </w:pPr>
      <w:r w:rsidRPr="00282270">
        <w:rPr>
          <w:rFonts w:ascii="Times New Roman" w:hAnsi="Times New Roman" w:cs="Times New Roman"/>
          <w:szCs w:val="18"/>
          <w:shd w:val="clear" w:color="auto" w:fill="FFFFFF"/>
        </w:rPr>
        <w:t>Εκκ</w:t>
      </w:r>
      <w:r w:rsidR="007D6AC9">
        <w:rPr>
          <w:rFonts w:ascii="Times New Roman" w:hAnsi="Times New Roman" w:cs="Times New Roman"/>
          <w:szCs w:val="18"/>
          <w:shd w:val="clear" w:color="auto" w:fill="FFFFFF"/>
        </w:rPr>
        <w:t xml:space="preserve">αθαριστικά σημειώματα ετών </w:t>
      </w:r>
      <w:r w:rsidRPr="00282270">
        <w:rPr>
          <w:rFonts w:ascii="Times New Roman" w:hAnsi="Times New Roman" w:cs="Times New Roman"/>
          <w:szCs w:val="18"/>
          <w:shd w:val="clear" w:color="auto" w:fill="FFFFFF"/>
        </w:rPr>
        <w:t>2018,2019</w:t>
      </w:r>
      <w:r w:rsidR="007D6AC9">
        <w:rPr>
          <w:rFonts w:ascii="Times New Roman" w:hAnsi="Times New Roman" w:cs="Times New Roman"/>
          <w:szCs w:val="18"/>
          <w:shd w:val="clear" w:color="auto" w:fill="FFFFFF"/>
        </w:rPr>
        <w:t>, 2020</w:t>
      </w:r>
    </w:p>
    <w:p w:rsidR="007D6AC9" w:rsidRPr="00282270" w:rsidRDefault="007D6AC9" w:rsidP="00F91419">
      <w:pPr>
        <w:pStyle w:val="a4"/>
        <w:numPr>
          <w:ilvl w:val="0"/>
          <w:numId w:val="2"/>
        </w:numPr>
        <w:spacing w:after="120"/>
        <w:rPr>
          <w:rFonts w:ascii="Times New Roman" w:hAnsi="Times New Roman" w:cs="Times New Roman"/>
          <w:szCs w:val="18"/>
          <w:shd w:val="clear" w:color="auto" w:fill="FFFFFF"/>
        </w:rPr>
      </w:pPr>
      <w:r>
        <w:rPr>
          <w:rFonts w:ascii="Times New Roman" w:hAnsi="Times New Roman" w:cs="Times New Roman"/>
          <w:szCs w:val="18"/>
          <w:shd w:val="clear" w:color="auto" w:fill="FFFFFF"/>
        </w:rPr>
        <w:t xml:space="preserve">Ε9 ετών </w:t>
      </w:r>
      <w:r w:rsidRPr="00282270">
        <w:rPr>
          <w:rFonts w:ascii="Times New Roman" w:hAnsi="Times New Roman" w:cs="Times New Roman"/>
          <w:szCs w:val="18"/>
          <w:shd w:val="clear" w:color="auto" w:fill="FFFFFF"/>
        </w:rPr>
        <w:t>2018,2019</w:t>
      </w:r>
      <w:r>
        <w:rPr>
          <w:rFonts w:ascii="Times New Roman" w:hAnsi="Times New Roman" w:cs="Times New Roman"/>
          <w:szCs w:val="18"/>
          <w:shd w:val="clear" w:color="auto" w:fill="FFFFFF"/>
        </w:rPr>
        <w:t xml:space="preserve">, 2020 </w:t>
      </w:r>
    </w:p>
    <w:p w:rsidR="00E62E79" w:rsidRPr="00282270" w:rsidRDefault="00E62E79">
      <w:pPr>
        <w:rPr>
          <w:rFonts w:ascii="Times New Roman" w:hAnsi="Times New Roman" w:cs="Times New Roman"/>
        </w:rPr>
      </w:pPr>
    </w:p>
    <w:sectPr w:rsidR="00E62E79" w:rsidRPr="00282270" w:rsidSect="00CB473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02202"/>
    <w:multiLevelType w:val="hybridMultilevel"/>
    <w:tmpl w:val="DFDEFFC0"/>
    <w:lvl w:ilvl="0" w:tplc="07F8F97E">
      <w:start w:val="1"/>
      <w:numFmt w:val="decimal"/>
      <w:lvlText w:val="%1."/>
      <w:lvlJc w:val="left"/>
      <w:pPr>
        <w:ind w:left="-426" w:hanging="360"/>
      </w:pPr>
      <w:rPr>
        <w:b/>
      </w:rPr>
    </w:lvl>
    <w:lvl w:ilvl="1" w:tplc="04080019" w:tentative="1">
      <w:start w:val="1"/>
      <w:numFmt w:val="lowerLetter"/>
      <w:lvlText w:val="%2."/>
      <w:lvlJc w:val="left"/>
      <w:pPr>
        <w:ind w:left="294" w:hanging="360"/>
      </w:pPr>
    </w:lvl>
    <w:lvl w:ilvl="2" w:tplc="0408001B" w:tentative="1">
      <w:start w:val="1"/>
      <w:numFmt w:val="lowerRoman"/>
      <w:lvlText w:val="%3."/>
      <w:lvlJc w:val="right"/>
      <w:pPr>
        <w:ind w:left="1014" w:hanging="180"/>
      </w:pPr>
    </w:lvl>
    <w:lvl w:ilvl="3" w:tplc="0408000F" w:tentative="1">
      <w:start w:val="1"/>
      <w:numFmt w:val="decimal"/>
      <w:lvlText w:val="%4."/>
      <w:lvlJc w:val="left"/>
      <w:pPr>
        <w:ind w:left="1734" w:hanging="360"/>
      </w:pPr>
    </w:lvl>
    <w:lvl w:ilvl="4" w:tplc="04080019" w:tentative="1">
      <w:start w:val="1"/>
      <w:numFmt w:val="lowerLetter"/>
      <w:lvlText w:val="%5."/>
      <w:lvlJc w:val="left"/>
      <w:pPr>
        <w:ind w:left="2454" w:hanging="360"/>
      </w:pPr>
    </w:lvl>
    <w:lvl w:ilvl="5" w:tplc="0408001B" w:tentative="1">
      <w:start w:val="1"/>
      <w:numFmt w:val="lowerRoman"/>
      <w:lvlText w:val="%6."/>
      <w:lvlJc w:val="right"/>
      <w:pPr>
        <w:ind w:left="3174" w:hanging="180"/>
      </w:pPr>
    </w:lvl>
    <w:lvl w:ilvl="6" w:tplc="0408000F" w:tentative="1">
      <w:start w:val="1"/>
      <w:numFmt w:val="decimal"/>
      <w:lvlText w:val="%7."/>
      <w:lvlJc w:val="left"/>
      <w:pPr>
        <w:ind w:left="3894" w:hanging="360"/>
      </w:pPr>
    </w:lvl>
    <w:lvl w:ilvl="7" w:tplc="04080019" w:tentative="1">
      <w:start w:val="1"/>
      <w:numFmt w:val="lowerLetter"/>
      <w:lvlText w:val="%8."/>
      <w:lvlJc w:val="left"/>
      <w:pPr>
        <w:ind w:left="4614" w:hanging="360"/>
      </w:pPr>
    </w:lvl>
    <w:lvl w:ilvl="8" w:tplc="0408001B" w:tentative="1">
      <w:start w:val="1"/>
      <w:numFmt w:val="lowerRoman"/>
      <w:lvlText w:val="%9."/>
      <w:lvlJc w:val="right"/>
      <w:pPr>
        <w:ind w:left="5334" w:hanging="180"/>
      </w:pPr>
    </w:lvl>
  </w:abstractNum>
  <w:abstractNum w:abstractNumId="1">
    <w:nsid w:val="178919D2"/>
    <w:multiLevelType w:val="hybridMultilevel"/>
    <w:tmpl w:val="B886847A"/>
    <w:lvl w:ilvl="0" w:tplc="C7603AB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18E2991"/>
    <w:multiLevelType w:val="hybridMultilevel"/>
    <w:tmpl w:val="5F2800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B6F1C"/>
    <w:rsid w:val="000162AD"/>
    <w:rsid w:val="00020BCF"/>
    <w:rsid w:val="00035C6D"/>
    <w:rsid w:val="0003703A"/>
    <w:rsid w:val="00066A9B"/>
    <w:rsid w:val="00072FAC"/>
    <w:rsid w:val="00073267"/>
    <w:rsid w:val="00073AED"/>
    <w:rsid w:val="00090CD3"/>
    <w:rsid w:val="00096C37"/>
    <w:rsid w:val="000E4401"/>
    <w:rsid w:val="00176749"/>
    <w:rsid w:val="001C7915"/>
    <w:rsid w:val="001F536D"/>
    <w:rsid w:val="00282270"/>
    <w:rsid w:val="002C07A4"/>
    <w:rsid w:val="003D150D"/>
    <w:rsid w:val="004F1761"/>
    <w:rsid w:val="005B24D4"/>
    <w:rsid w:val="005B585E"/>
    <w:rsid w:val="005D3E1C"/>
    <w:rsid w:val="00611FB2"/>
    <w:rsid w:val="00640CA5"/>
    <w:rsid w:val="00647262"/>
    <w:rsid w:val="00792930"/>
    <w:rsid w:val="007C07D2"/>
    <w:rsid w:val="007C0A43"/>
    <w:rsid w:val="007D6AC9"/>
    <w:rsid w:val="0085670D"/>
    <w:rsid w:val="00871039"/>
    <w:rsid w:val="008824E8"/>
    <w:rsid w:val="008B3F56"/>
    <w:rsid w:val="008B4E71"/>
    <w:rsid w:val="009C03C2"/>
    <w:rsid w:val="00A213DB"/>
    <w:rsid w:val="00AB6F1C"/>
    <w:rsid w:val="00AD4DDC"/>
    <w:rsid w:val="00B51E53"/>
    <w:rsid w:val="00B90916"/>
    <w:rsid w:val="00C36B37"/>
    <w:rsid w:val="00C518A7"/>
    <w:rsid w:val="00C87A7E"/>
    <w:rsid w:val="00CB473E"/>
    <w:rsid w:val="00CB598B"/>
    <w:rsid w:val="00D3255B"/>
    <w:rsid w:val="00D95E35"/>
    <w:rsid w:val="00E62E79"/>
    <w:rsid w:val="00F914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73E"/>
  </w:style>
  <w:style w:type="paragraph" w:styleId="1">
    <w:name w:val="heading 1"/>
    <w:basedOn w:val="a"/>
    <w:next w:val="a"/>
    <w:link w:val="1Char"/>
    <w:uiPriority w:val="9"/>
    <w:qFormat/>
    <w:rsid w:val="00AB6F1C"/>
    <w:pPr>
      <w:keepNext/>
      <w:spacing w:after="0" w:line="360" w:lineRule="auto"/>
      <w:jc w:val="both"/>
      <w:outlineLvl w:val="0"/>
    </w:pPr>
    <w:rPr>
      <w:rFonts w:ascii="Times New Roman" w:eastAsia="Times New Roman" w:hAnsi="Times New Roman" w:cs="Times New Roman"/>
      <w:b/>
      <w:sz w:val="24"/>
      <w:szCs w:val="20"/>
    </w:rPr>
  </w:style>
  <w:style w:type="paragraph" w:styleId="2">
    <w:name w:val="heading 2"/>
    <w:basedOn w:val="a"/>
    <w:next w:val="a"/>
    <w:link w:val="2Char"/>
    <w:uiPriority w:val="9"/>
    <w:unhideWhenUsed/>
    <w:qFormat/>
    <w:rsid w:val="00AB6F1C"/>
    <w:pPr>
      <w:keepNext/>
      <w:spacing w:before="240" w:after="60"/>
      <w:outlineLvl w:val="1"/>
    </w:pPr>
    <w:rPr>
      <w:rFonts w:ascii="Cambria" w:eastAsia="Times New Roman" w:hAnsi="Cambria" w:cs="Times New Roman"/>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B6F1C"/>
    <w:rPr>
      <w:rFonts w:ascii="Times New Roman" w:eastAsia="Times New Roman" w:hAnsi="Times New Roman" w:cs="Times New Roman"/>
      <w:b/>
      <w:sz w:val="24"/>
      <w:szCs w:val="20"/>
    </w:rPr>
  </w:style>
  <w:style w:type="character" w:customStyle="1" w:styleId="2Char">
    <w:name w:val="Επικεφαλίδα 2 Char"/>
    <w:basedOn w:val="a0"/>
    <w:link w:val="2"/>
    <w:uiPriority w:val="9"/>
    <w:rsid w:val="00AB6F1C"/>
    <w:rPr>
      <w:rFonts w:ascii="Cambria" w:eastAsia="Times New Roman" w:hAnsi="Cambria" w:cs="Times New Roman"/>
      <w:b/>
      <w:bCs/>
      <w:i/>
      <w:iCs/>
      <w:sz w:val="28"/>
      <w:szCs w:val="28"/>
      <w:lang w:eastAsia="en-US"/>
    </w:rPr>
  </w:style>
  <w:style w:type="character" w:customStyle="1" w:styleId="Heading6">
    <w:name w:val="Heading #6_"/>
    <w:basedOn w:val="a0"/>
    <w:link w:val="Heading61"/>
    <w:uiPriority w:val="99"/>
    <w:locked/>
    <w:rsid w:val="00AB6F1C"/>
    <w:rPr>
      <w:rFonts w:ascii="Calibri" w:hAnsi="Calibri" w:cs="Calibri"/>
      <w:b/>
      <w:bCs/>
      <w:i/>
      <w:iCs/>
      <w:shd w:val="clear" w:color="auto" w:fill="FFFFFF"/>
    </w:rPr>
  </w:style>
  <w:style w:type="character" w:customStyle="1" w:styleId="Heading60">
    <w:name w:val="Heading #6"/>
    <w:basedOn w:val="Heading6"/>
    <w:uiPriority w:val="99"/>
    <w:rsid w:val="00AB6F1C"/>
    <w:rPr>
      <w:u w:val="single"/>
    </w:rPr>
  </w:style>
  <w:style w:type="paragraph" w:customStyle="1" w:styleId="Heading61">
    <w:name w:val="Heading #61"/>
    <w:basedOn w:val="a"/>
    <w:link w:val="Heading6"/>
    <w:uiPriority w:val="99"/>
    <w:rsid w:val="00AB6F1C"/>
    <w:pPr>
      <w:shd w:val="clear" w:color="auto" w:fill="FFFFFF"/>
      <w:spacing w:after="0" w:line="269" w:lineRule="exact"/>
      <w:jc w:val="center"/>
      <w:outlineLvl w:val="5"/>
    </w:pPr>
    <w:rPr>
      <w:rFonts w:ascii="Calibri" w:hAnsi="Calibri" w:cs="Calibri"/>
      <w:b/>
      <w:bCs/>
      <w:i/>
      <w:iCs/>
    </w:rPr>
  </w:style>
  <w:style w:type="table" w:styleId="a3">
    <w:name w:val="Table Grid"/>
    <w:basedOn w:val="a1"/>
    <w:rsid w:val="00AB6F1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B6F1C"/>
    <w:pPr>
      <w:spacing w:after="0" w:line="240" w:lineRule="auto"/>
      <w:ind w:left="720"/>
      <w:contextualSpacing/>
    </w:pPr>
    <w:rPr>
      <w:rFonts w:ascii="Arial Unicode MS" w:eastAsia="Arial Unicode MS" w:hAnsi="Arial Unicode MS" w:cs="Arial Unicode MS"/>
      <w:color w:val="000000"/>
      <w:sz w:val="24"/>
      <w:szCs w:val="24"/>
    </w:rPr>
  </w:style>
  <w:style w:type="paragraph" w:styleId="Web">
    <w:name w:val="Normal (Web)"/>
    <w:basedOn w:val="a"/>
    <w:uiPriority w:val="99"/>
    <w:unhideWhenUsed/>
    <w:rsid w:val="00AB6F1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AB6F1C"/>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AB6F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1337E-4C1F-4873-B4A4-C4A1FA68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422</Words>
  <Characters>2283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ROULA</cp:lastModifiedBy>
  <cp:revision>9</cp:revision>
  <cp:lastPrinted>2021-10-08T09:16:00Z</cp:lastPrinted>
  <dcterms:created xsi:type="dcterms:W3CDTF">2021-09-23T10:14:00Z</dcterms:created>
  <dcterms:modified xsi:type="dcterms:W3CDTF">2021-10-08T09:24:00Z</dcterms:modified>
</cp:coreProperties>
</file>