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27" w:rsidRDefault="00BA7927">
      <w:pPr>
        <w:jc w:val="both"/>
        <w:rPr>
          <w:lang w:val="en-US"/>
        </w:rPr>
      </w:pPr>
    </w:p>
    <w:p w:rsidR="00BA7927" w:rsidRDefault="00BA7927">
      <w:pPr>
        <w:jc w:val="both"/>
        <w:rPr>
          <w:b/>
          <w:bCs/>
          <w:lang w:val="en-US"/>
        </w:rPr>
      </w:pPr>
    </w:p>
    <w:tbl>
      <w:tblPr>
        <w:tblW w:w="0" w:type="auto"/>
        <w:tblInd w:w="-72" w:type="dxa"/>
        <w:tblLayout w:type="fixed"/>
        <w:tblLook w:val="0000"/>
      </w:tblPr>
      <w:tblGrid>
        <w:gridCol w:w="1525"/>
        <w:gridCol w:w="236"/>
        <w:gridCol w:w="3403"/>
        <w:gridCol w:w="236"/>
        <w:gridCol w:w="4098"/>
      </w:tblGrid>
      <w:tr w:rsidR="00BA7927">
        <w:trPr>
          <w:cantSplit/>
          <w:trHeight w:val="388"/>
        </w:trPr>
        <w:tc>
          <w:tcPr>
            <w:tcW w:w="5164" w:type="dxa"/>
            <w:gridSpan w:val="3"/>
          </w:tcPr>
          <w:p w:rsidR="00BA7927" w:rsidRDefault="00AB1493">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BA7927" w:rsidRDefault="00BA7927">
            <w:pPr>
              <w:pStyle w:val="1"/>
              <w:rPr>
                <w:bCs/>
                <w:sz w:val="24"/>
                <w:szCs w:val="24"/>
              </w:rPr>
            </w:pPr>
            <w:r>
              <w:rPr>
                <w:bCs/>
                <w:sz w:val="24"/>
                <w:szCs w:val="24"/>
              </w:rPr>
              <w:t>ΕΛΛΗΝΙΚΗ ΔΗΜΟΚΡΑΤΙΑ</w:t>
            </w:r>
          </w:p>
        </w:tc>
        <w:tc>
          <w:tcPr>
            <w:tcW w:w="236" w:type="dxa"/>
          </w:tcPr>
          <w:p w:rsidR="00BA7927" w:rsidRDefault="00BA7927"/>
        </w:tc>
        <w:tc>
          <w:tcPr>
            <w:tcW w:w="4098" w:type="dxa"/>
          </w:tcPr>
          <w:p w:rsidR="00BA7927" w:rsidRDefault="00BA7927">
            <w:pPr>
              <w:rPr>
                <w:rFonts w:ascii="Arial" w:hAnsi="Arial" w:cs="Arial"/>
                <w:sz w:val="22"/>
              </w:rPr>
            </w:pPr>
          </w:p>
          <w:p w:rsidR="00BA7927" w:rsidRDefault="00BA7927">
            <w:pPr>
              <w:rPr>
                <w:rFonts w:ascii="Arial" w:hAnsi="Arial" w:cs="Arial"/>
                <w:sz w:val="22"/>
              </w:rPr>
            </w:pPr>
          </w:p>
          <w:p w:rsidR="00BA7927" w:rsidRDefault="00BA7927">
            <w:pPr>
              <w:rPr>
                <w:rFonts w:ascii="Arial" w:hAnsi="Arial" w:cs="Arial"/>
                <w:sz w:val="22"/>
              </w:rPr>
            </w:pPr>
          </w:p>
          <w:p w:rsidR="00BA7927" w:rsidRPr="00E80A80" w:rsidRDefault="00BA7927" w:rsidP="009D129E">
            <w:pPr>
              <w:rPr>
                <w:rFonts w:ascii="Arial" w:hAnsi="Arial" w:cs="Arial"/>
                <w:sz w:val="22"/>
              </w:rPr>
            </w:pPr>
            <w:r w:rsidRPr="00E80A80">
              <w:rPr>
                <w:rFonts w:ascii="Arial" w:hAnsi="Arial" w:cs="Arial"/>
                <w:sz w:val="22"/>
              </w:rPr>
              <w:t xml:space="preserve">         Μοσχάτο  </w:t>
            </w:r>
            <w:r w:rsidR="009D129E">
              <w:rPr>
                <w:rFonts w:ascii="Arial" w:hAnsi="Arial" w:cs="Arial"/>
                <w:sz w:val="22"/>
              </w:rPr>
              <w:t>12</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9D129E">
              <w:rPr>
                <w:rFonts w:ascii="Arial" w:hAnsi="Arial" w:cs="Arial"/>
                <w:sz w:val="22"/>
              </w:rPr>
              <w:t>10</w:t>
            </w:r>
            <w:r w:rsidR="001D3F7D" w:rsidRPr="00E80A80">
              <w:rPr>
                <w:rFonts w:ascii="Arial" w:hAnsi="Arial" w:cs="Arial"/>
                <w:sz w:val="22"/>
              </w:rPr>
              <w:t xml:space="preserve"> - 20</w:t>
            </w:r>
            <w:r w:rsidR="001D3F7D" w:rsidRPr="00E80A80">
              <w:rPr>
                <w:rFonts w:ascii="Arial" w:hAnsi="Arial" w:cs="Arial"/>
                <w:sz w:val="22"/>
                <w:lang w:val="en-US"/>
              </w:rPr>
              <w:t>2</w:t>
            </w:r>
            <w:r w:rsidR="00932FBC">
              <w:rPr>
                <w:rFonts w:ascii="Arial" w:hAnsi="Arial" w:cs="Arial"/>
                <w:sz w:val="22"/>
              </w:rPr>
              <w:t>1</w:t>
            </w:r>
            <w:r w:rsidRPr="00E80A80">
              <w:rPr>
                <w:rFonts w:ascii="Arial" w:hAnsi="Arial" w:cs="Arial"/>
                <w:sz w:val="22"/>
              </w:rPr>
              <w:t xml:space="preserve">    </w:t>
            </w:r>
          </w:p>
        </w:tc>
      </w:tr>
      <w:tr w:rsidR="00BA7927">
        <w:tc>
          <w:tcPr>
            <w:tcW w:w="5164" w:type="dxa"/>
            <w:gridSpan w:val="3"/>
          </w:tcPr>
          <w:p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rsidR="00BA7927" w:rsidRDefault="00BA7927">
            <w:pPr>
              <w:rPr>
                <w:rFonts w:ascii="Arial" w:hAnsi="Arial" w:cs="Arial"/>
              </w:rPr>
            </w:pPr>
          </w:p>
        </w:tc>
        <w:tc>
          <w:tcPr>
            <w:tcW w:w="4098" w:type="dxa"/>
          </w:tcPr>
          <w:p w:rsidR="00BA7927" w:rsidRDefault="00BA7927">
            <w:pPr>
              <w:rPr>
                <w:rFonts w:ascii="Arial" w:hAnsi="Arial" w:cs="Arial"/>
                <w:sz w:val="22"/>
              </w:rPr>
            </w:pPr>
          </w:p>
        </w:tc>
      </w:tr>
      <w:tr w:rsidR="00BA7927">
        <w:tc>
          <w:tcPr>
            <w:tcW w:w="5164" w:type="dxa"/>
            <w:gridSpan w:val="3"/>
          </w:tcPr>
          <w:p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rsidR="00BA7927" w:rsidRDefault="00BA7927">
            <w:pPr>
              <w:rPr>
                <w:rFonts w:ascii="Arial" w:hAnsi="Arial" w:cs="Arial"/>
                <w:sz w:val="22"/>
              </w:rPr>
            </w:pPr>
          </w:p>
        </w:tc>
        <w:tc>
          <w:tcPr>
            <w:tcW w:w="4098" w:type="dxa"/>
          </w:tcPr>
          <w:p w:rsidR="00BA7927" w:rsidRDefault="00BA7927">
            <w:pPr>
              <w:jc w:val="both"/>
              <w:rPr>
                <w:rFonts w:ascii="Arial" w:hAnsi="Arial" w:cs="Arial"/>
                <w:sz w:val="22"/>
              </w:rPr>
            </w:pPr>
          </w:p>
        </w:tc>
      </w:tr>
      <w:tr w:rsidR="00BA7927">
        <w:tc>
          <w:tcPr>
            <w:tcW w:w="5164" w:type="dxa"/>
            <w:gridSpan w:val="3"/>
          </w:tcPr>
          <w:p w:rsidR="00BA7927" w:rsidRDefault="00BA7927">
            <w:pPr>
              <w:pStyle w:val="2"/>
              <w:rPr>
                <w:rFonts w:ascii="Arial" w:hAnsi="Arial" w:cs="Arial"/>
                <w:bCs w:val="0"/>
                <w:sz w:val="24"/>
              </w:rPr>
            </w:pPr>
            <w:r>
              <w:rPr>
                <w:rFonts w:ascii="Arial" w:hAnsi="Arial" w:cs="Arial"/>
                <w:sz w:val="24"/>
              </w:rPr>
              <w:t>---------------------------</w:t>
            </w:r>
          </w:p>
        </w:tc>
        <w:tc>
          <w:tcPr>
            <w:tcW w:w="236" w:type="dxa"/>
          </w:tcPr>
          <w:p w:rsidR="00BA7927" w:rsidRDefault="00BA7927">
            <w:pPr>
              <w:rPr>
                <w:rFonts w:ascii="Arial" w:hAnsi="Arial" w:cs="Arial"/>
              </w:rPr>
            </w:pPr>
          </w:p>
        </w:tc>
        <w:tc>
          <w:tcPr>
            <w:tcW w:w="4098" w:type="dxa"/>
          </w:tcPr>
          <w:p w:rsidR="00BA7927" w:rsidRPr="000909C8" w:rsidRDefault="00BA7927" w:rsidP="000909C8">
            <w:pPr>
              <w:rPr>
                <w:rFonts w:ascii="Arial" w:hAnsi="Arial" w:cs="Arial"/>
                <w:sz w:val="22"/>
              </w:rPr>
            </w:pPr>
            <w:r>
              <w:rPr>
                <w:rFonts w:ascii="Arial" w:hAnsi="Arial" w:cs="Arial"/>
                <w:sz w:val="22"/>
              </w:rPr>
              <w:t xml:space="preserve">         Αριθ. </w:t>
            </w:r>
            <w:proofErr w:type="spellStart"/>
            <w:r>
              <w:rPr>
                <w:rFonts w:ascii="Arial" w:hAnsi="Arial" w:cs="Arial"/>
                <w:sz w:val="22"/>
              </w:rPr>
              <w:t>Πρωτ</w:t>
            </w:r>
            <w:proofErr w:type="spellEnd"/>
            <w:r>
              <w:rPr>
                <w:rFonts w:ascii="Arial" w:hAnsi="Arial" w:cs="Arial"/>
                <w:sz w:val="22"/>
              </w:rPr>
              <w:t xml:space="preserve">.  </w:t>
            </w:r>
            <w:r w:rsidRPr="00E80A80">
              <w:rPr>
                <w:rFonts w:ascii="Arial" w:hAnsi="Arial" w:cs="Arial"/>
                <w:sz w:val="22"/>
              </w:rPr>
              <w:t xml:space="preserve">: </w:t>
            </w:r>
            <w:r w:rsidR="0081754B">
              <w:rPr>
                <w:rFonts w:ascii="Arial" w:hAnsi="Arial" w:cs="Arial"/>
                <w:sz w:val="22"/>
              </w:rPr>
              <w:t>Δ.Υ,</w:t>
            </w:r>
          </w:p>
        </w:tc>
      </w:tr>
      <w:tr w:rsidR="00BA7927">
        <w:tc>
          <w:tcPr>
            <w:tcW w:w="5164" w:type="dxa"/>
            <w:gridSpan w:val="3"/>
          </w:tcPr>
          <w:p w:rsidR="00BA7927" w:rsidRDefault="00BA7927">
            <w:pPr>
              <w:pStyle w:val="2"/>
              <w:rPr>
                <w:rFonts w:ascii="Arial" w:hAnsi="Arial" w:cs="Arial"/>
                <w:sz w:val="22"/>
              </w:rPr>
            </w:pPr>
          </w:p>
        </w:tc>
        <w:tc>
          <w:tcPr>
            <w:tcW w:w="236" w:type="dxa"/>
          </w:tcPr>
          <w:p w:rsidR="00BA7927" w:rsidRDefault="00BA7927">
            <w:pPr>
              <w:rPr>
                <w:rFonts w:ascii="Arial" w:hAnsi="Arial" w:cs="Arial"/>
                <w:sz w:val="22"/>
              </w:rPr>
            </w:pPr>
          </w:p>
        </w:tc>
        <w:tc>
          <w:tcPr>
            <w:tcW w:w="4098" w:type="dxa"/>
          </w:tcPr>
          <w:p w:rsidR="00BA7927" w:rsidRDefault="00BA7927">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rsidR="0081754B" w:rsidRDefault="0081754B" w:rsidP="0081754B">
            <w:pPr>
              <w:pStyle w:val="3"/>
              <w:rPr>
                <w:rFonts w:ascii="Arial" w:hAnsi="Arial" w:cs="Arial"/>
                <w:sz w:val="22"/>
              </w:rPr>
            </w:pPr>
            <w:r>
              <w:rPr>
                <w:rFonts w:ascii="Arial" w:hAnsi="Arial" w:cs="Arial"/>
                <w:sz w:val="22"/>
              </w:rPr>
              <w:t xml:space="preserve">         Προς </w:t>
            </w:r>
          </w:p>
          <w:p w:rsidR="0081754B" w:rsidRDefault="0081754B" w:rsidP="0081754B">
            <w:pPr>
              <w:rPr>
                <w:rFonts w:ascii="Arial" w:hAnsi="Arial" w:cs="Arial"/>
                <w:sz w:val="22"/>
                <w:szCs w:val="22"/>
              </w:rPr>
            </w:pPr>
            <w:r>
              <w:rPr>
                <w:rFonts w:ascii="Arial" w:hAnsi="Arial" w:cs="Arial"/>
                <w:sz w:val="22"/>
                <w:szCs w:val="22"/>
              </w:rPr>
              <w:t xml:space="preserve">         </w:t>
            </w:r>
            <w:r w:rsidRPr="000909C8">
              <w:rPr>
                <w:rFonts w:ascii="Arial" w:hAnsi="Arial" w:cs="Arial"/>
                <w:sz w:val="22"/>
                <w:szCs w:val="22"/>
              </w:rPr>
              <w:t>ΠΡΟΕΔΡΟ ΔΗΜΟΤΙΚΟΥ</w:t>
            </w:r>
            <w:r>
              <w:rPr>
                <w:rFonts w:ascii="Arial" w:hAnsi="Arial" w:cs="Arial"/>
                <w:sz w:val="22"/>
                <w:szCs w:val="22"/>
              </w:rPr>
              <w:t xml:space="preserve">                   </w:t>
            </w:r>
          </w:p>
          <w:p w:rsidR="0081754B" w:rsidRDefault="0081754B" w:rsidP="0081754B">
            <w:pPr>
              <w:rPr>
                <w:rFonts w:ascii="Arial" w:hAnsi="Arial" w:cs="Arial"/>
                <w:sz w:val="22"/>
              </w:rPr>
            </w:pPr>
            <w:r>
              <w:rPr>
                <w:rFonts w:ascii="Arial" w:hAnsi="Arial" w:cs="Arial"/>
                <w:sz w:val="22"/>
                <w:szCs w:val="22"/>
              </w:rPr>
              <w:t xml:space="preserve">         ΣΥΜΒΟΥΛΙΟΥ</w:t>
            </w:r>
            <w:r w:rsidRPr="000909C8">
              <w:rPr>
                <w:rFonts w:ascii="Arial" w:hAnsi="Arial" w:cs="Arial"/>
                <w:sz w:val="22"/>
                <w:szCs w:val="22"/>
              </w:rPr>
              <w:t xml:space="preserve"> </w:t>
            </w:r>
            <w:r>
              <w:rPr>
                <w:rFonts w:ascii="Arial" w:hAnsi="Arial" w:cs="Arial"/>
                <w:sz w:val="22"/>
                <w:szCs w:val="22"/>
              </w:rPr>
              <w:t xml:space="preserve">                                                                         </w:t>
            </w:r>
            <w:r>
              <w:rPr>
                <w:rFonts w:ascii="Arial" w:hAnsi="Arial" w:cs="Arial"/>
                <w:sz w:val="22"/>
              </w:rPr>
              <w:t xml:space="preserve">   </w:t>
            </w:r>
          </w:p>
          <w:p w:rsidR="0081754B" w:rsidRPr="00F87F7F" w:rsidRDefault="0081754B" w:rsidP="0081754B">
            <w:pPr>
              <w:rPr>
                <w:rFonts w:ascii="Arial" w:hAnsi="Arial" w:cs="Arial"/>
                <w:sz w:val="22"/>
                <w:szCs w:val="22"/>
              </w:rPr>
            </w:pPr>
            <w:r>
              <w:rPr>
                <w:rFonts w:ascii="Arial" w:hAnsi="Arial" w:cs="Arial"/>
                <w:sz w:val="22"/>
              </w:rPr>
              <w:t xml:space="preserve">         ΕΝΤΑΥΘΑ</w:t>
            </w:r>
          </w:p>
          <w:p w:rsidR="000909C8" w:rsidRPr="001D3F7D" w:rsidRDefault="000909C8" w:rsidP="005A5A03">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183 45</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rPr>
            </w:pPr>
          </w:p>
        </w:tc>
      </w:tr>
      <w:tr w:rsidR="00BA7927">
        <w:trPr>
          <w:cantSplit/>
        </w:trPr>
        <w:tc>
          <w:tcPr>
            <w:tcW w:w="1525" w:type="dxa"/>
          </w:tcPr>
          <w:p w:rsidR="00BA7927" w:rsidRDefault="00BA7927">
            <w:pPr>
              <w:rPr>
                <w:rFonts w:ascii="Arial" w:hAnsi="Arial" w:cs="Arial"/>
                <w:sz w:val="22"/>
              </w:rPr>
            </w:pPr>
            <w:r>
              <w:rPr>
                <w:rFonts w:ascii="Arial" w:hAnsi="Arial" w:cs="Arial"/>
                <w:sz w:val="22"/>
              </w:rPr>
              <w:t>Τηλέφωνο</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rPr>
                <w:rFonts w:ascii="Arial" w:hAnsi="Arial" w:cs="Arial"/>
                <w:sz w:val="22"/>
              </w:rPr>
            </w:pPr>
            <w:r>
              <w:rPr>
                <w:rFonts w:ascii="Arial" w:hAnsi="Arial" w:cs="Arial"/>
                <w:sz w:val="22"/>
              </w:rPr>
              <w:t>213 2019614</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u w:val="single"/>
              </w:rPr>
            </w:pPr>
          </w:p>
        </w:tc>
      </w:tr>
      <w:tr w:rsidR="00BA7927">
        <w:trPr>
          <w:cantSplit/>
        </w:trPr>
        <w:tc>
          <w:tcPr>
            <w:tcW w:w="1525" w:type="dxa"/>
          </w:tcPr>
          <w:p w:rsidR="00BA7927" w:rsidRDefault="00BA7927">
            <w:pPr>
              <w:rPr>
                <w:rFonts w:ascii="Arial" w:hAnsi="Arial" w:cs="Arial"/>
                <w:sz w:val="22"/>
              </w:rPr>
            </w:pPr>
            <w:r>
              <w:rPr>
                <w:rFonts w:ascii="Arial" w:hAnsi="Arial" w:cs="Arial"/>
                <w:sz w:val="22"/>
                <w:lang w:val="en-US"/>
              </w:rPr>
              <w:t>FAX</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210 9416154</w:t>
            </w:r>
          </w:p>
        </w:tc>
        <w:tc>
          <w:tcPr>
            <w:tcW w:w="236" w:type="dxa"/>
          </w:tcPr>
          <w:p w:rsidR="00BA7927" w:rsidRDefault="00BA7927">
            <w:pPr>
              <w:rPr>
                <w:rFonts w:ascii="Arial" w:hAnsi="Arial" w:cs="Arial"/>
                <w:sz w:val="22"/>
              </w:rPr>
            </w:pPr>
          </w:p>
        </w:tc>
        <w:tc>
          <w:tcPr>
            <w:tcW w:w="4098" w:type="dxa"/>
            <w:vMerge/>
          </w:tcPr>
          <w:p w:rsidR="00BA7927" w:rsidRDefault="00BA7927">
            <w:pPr>
              <w:jc w:val="center"/>
              <w:rPr>
                <w:rFonts w:ascii="Arial" w:hAnsi="Arial" w:cs="Arial"/>
                <w:sz w:val="22"/>
              </w:rPr>
            </w:pPr>
          </w:p>
        </w:tc>
      </w:tr>
      <w:tr w:rsidR="0081754B">
        <w:trPr>
          <w:cantSplit/>
        </w:trPr>
        <w:tc>
          <w:tcPr>
            <w:tcW w:w="1525" w:type="dxa"/>
          </w:tcPr>
          <w:p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rsidR="0081754B" w:rsidRDefault="0081754B">
            <w:pPr>
              <w:rPr>
                <w:rFonts w:ascii="Arial" w:hAnsi="Arial" w:cs="Arial"/>
                <w:sz w:val="22"/>
              </w:rPr>
            </w:pPr>
          </w:p>
        </w:tc>
        <w:tc>
          <w:tcPr>
            <w:tcW w:w="4098" w:type="dxa"/>
            <w:vMerge/>
          </w:tcPr>
          <w:p w:rsidR="0081754B" w:rsidRDefault="0081754B">
            <w:pPr>
              <w:jc w:val="center"/>
              <w:rPr>
                <w:rFonts w:ascii="Arial" w:hAnsi="Arial" w:cs="Arial"/>
                <w:sz w:val="22"/>
              </w:rPr>
            </w:pPr>
          </w:p>
        </w:tc>
      </w:tr>
    </w:tbl>
    <w:p w:rsidR="00EA0226" w:rsidRDefault="00EA0226" w:rsidP="007577A6"/>
    <w:p w:rsidR="0081754B" w:rsidRDefault="0081754B" w:rsidP="007577A6"/>
    <w:p w:rsidR="000909C8" w:rsidRDefault="000909C8" w:rsidP="0081754B">
      <w:pPr>
        <w:spacing w:line="360" w:lineRule="auto"/>
        <w:jc w:val="both"/>
      </w:pPr>
    </w:p>
    <w:p w:rsidR="00FF4DC2" w:rsidRDefault="000909C8" w:rsidP="00FF4DC2">
      <w:pPr>
        <w:pStyle w:val="a7"/>
        <w:spacing w:line="240" w:lineRule="auto"/>
        <w:ind w:left="1134" w:hanging="1134"/>
        <w:jc w:val="both"/>
        <w:rPr>
          <w:rFonts w:asciiTheme="minorHAnsi" w:hAnsiTheme="minorHAnsi" w:cs="Arial"/>
        </w:rPr>
      </w:pPr>
      <w:r w:rsidRPr="009D129E">
        <w:rPr>
          <w:rFonts w:asciiTheme="minorHAnsi" w:hAnsiTheme="minorHAnsi" w:cs="Arial"/>
        </w:rPr>
        <w:t xml:space="preserve">ΘΕΜΑ:    </w:t>
      </w:r>
      <w:r w:rsidR="00EA0226" w:rsidRPr="009D129E">
        <w:rPr>
          <w:rFonts w:asciiTheme="minorHAnsi" w:hAnsiTheme="minorHAnsi" w:cs="Arial"/>
        </w:rPr>
        <w:t>Επ</w:t>
      </w:r>
      <w:r w:rsidR="0081754B" w:rsidRPr="009D129E">
        <w:rPr>
          <w:rFonts w:asciiTheme="minorHAnsi" w:hAnsiTheme="minorHAnsi" w:cs="Arial"/>
        </w:rPr>
        <w:t>ανεξέταση</w:t>
      </w:r>
      <w:r w:rsidR="00EA0226" w:rsidRPr="009D129E">
        <w:rPr>
          <w:rFonts w:asciiTheme="minorHAnsi" w:hAnsiTheme="minorHAnsi" w:cs="Arial"/>
        </w:rPr>
        <w:t xml:space="preserve">  της </w:t>
      </w:r>
      <w:proofErr w:type="spellStart"/>
      <w:r w:rsidR="00EA0226" w:rsidRPr="009D129E">
        <w:rPr>
          <w:rFonts w:asciiTheme="minorHAnsi" w:hAnsiTheme="minorHAnsi" w:cs="Arial"/>
        </w:rPr>
        <w:t>υπ΄αριθμ</w:t>
      </w:r>
      <w:proofErr w:type="spellEnd"/>
      <w:r w:rsidR="00EA0226" w:rsidRPr="009D129E">
        <w:rPr>
          <w:rFonts w:asciiTheme="minorHAnsi" w:hAnsiTheme="minorHAnsi" w:cs="Arial"/>
        </w:rPr>
        <w:t>. 152/22-04-2019 απόφασης Δημοτικού Συμβουλίου</w:t>
      </w:r>
      <w:r w:rsidR="009D129E" w:rsidRPr="009D129E">
        <w:rPr>
          <w:rFonts w:asciiTheme="minorHAnsi" w:hAnsiTheme="minorHAnsi" w:cs="Arial"/>
        </w:rPr>
        <w:t xml:space="preserve"> σχετικά με τη βούληση του Δήμου για απευθείας αγορά ακινήτου</w:t>
      </w:r>
    </w:p>
    <w:p w:rsidR="009D129E" w:rsidRPr="009D129E" w:rsidRDefault="009D129E" w:rsidP="00FF4DC2">
      <w:pPr>
        <w:pStyle w:val="a7"/>
        <w:spacing w:line="240" w:lineRule="auto"/>
        <w:ind w:left="1134" w:hanging="1134"/>
        <w:jc w:val="both"/>
        <w:rPr>
          <w:rFonts w:asciiTheme="minorHAnsi" w:hAnsiTheme="minorHAnsi" w:cs="Arial"/>
        </w:rPr>
      </w:pPr>
    </w:p>
    <w:p w:rsidR="002B382C" w:rsidRPr="009D129E" w:rsidRDefault="00CD39FD" w:rsidP="00AF4246">
      <w:pPr>
        <w:pStyle w:val="a7"/>
        <w:spacing w:line="240" w:lineRule="auto"/>
        <w:ind w:left="1134" w:hanging="1134"/>
        <w:jc w:val="both"/>
        <w:rPr>
          <w:rFonts w:asciiTheme="minorHAnsi" w:hAnsiTheme="minorHAnsi" w:cs="Arial"/>
        </w:rPr>
      </w:pPr>
      <w:r w:rsidRPr="009D129E">
        <w:rPr>
          <w:rFonts w:asciiTheme="minorHAnsi" w:hAnsiTheme="minorHAnsi" w:cs="Arial"/>
        </w:rPr>
        <w:t xml:space="preserve"> </w:t>
      </w:r>
      <w:proofErr w:type="spellStart"/>
      <w:r w:rsidRPr="009D129E">
        <w:rPr>
          <w:rFonts w:asciiTheme="minorHAnsi" w:hAnsiTheme="minorHAnsi" w:cs="Arial"/>
        </w:rPr>
        <w:t>Σχετ</w:t>
      </w:r>
      <w:proofErr w:type="spellEnd"/>
      <w:r w:rsidRPr="009D129E">
        <w:rPr>
          <w:rFonts w:asciiTheme="minorHAnsi" w:hAnsiTheme="minorHAnsi" w:cs="Arial"/>
        </w:rPr>
        <w:t xml:space="preserve">.: </w:t>
      </w:r>
      <w:r w:rsidR="002B382C" w:rsidRPr="009D129E">
        <w:rPr>
          <w:rFonts w:asciiTheme="minorHAnsi" w:hAnsiTheme="minorHAnsi" w:cs="Arial"/>
        </w:rPr>
        <w:t xml:space="preserve">α) Η υπ΄αριθμ.18/11-02-2019 απόφαση του Δημοτικού Συμβουλίου του Δήμου Μοσχάτου-Ταύρου </w:t>
      </w:r>
    </w:p>
    <w:p w:rsidR="000909C8" w:rsidRDefault="002B382C" w:rsidP="009D129E">
      <w:pPr>
        <w:pStyle w:val="a7"/>
        <w:spacing w:line="240" w:lineRule="auto"/>
        <w:ind w:left="1134" w:hanging="1134"/>
        <w:jc w:val="both"/>
        <w:rPr>
          <w:rFonts w:asciiTheme="minorHAnsi" w:hAnsiTheme="minorHAnsi" w:cs="Arial"/>
        </w:rPr>
      </w:pPr>
      <w:r w:rsidRPr="009D129E">
        <w:rPr>
          <w:rFonts w:asciiTheme="minorHAnsi" w:hAnsiTheme="minorHAnsi" w:cs="Arial"/>
        </w:rPr>
        <w:t xml:space="preserve">           β) Η υπ΄αριθμ.152/22-04-2019 απόφαση του Δημοτικού Συμβουλίου του Δήμου Μοσχάτου-Ταύρου</w:t>
      </w:r>
    </w:p>
    <w:p w:rsidR="009D129E" w:rsidRPr="009D129E" w:rsidRDefault="009D129E" w:rsidP="009D129E">
      <w:pPr>
        <w:pStyle w:val="a7"/>
        <w:spacing w:line="240" w:lineRule="auto"/>
        <w:ind w:left="1134" w:hanging="1134"/>
        <w:jc w:val="both"/>
        <w:rPr>
          <w:rFonts w:asciiTheme="minorHAnsi" w:hAnsiTheme="minorHAnsi" w:cs="Arial"/>
        </w:rPr>
      </w:pPr>
    </w:p>
    <w:p w:rsidR="000909C8" w:rsidRPr="009D129E" w:rsidRDefault="000909C8" w:rsidP="00AF4246">
      <w:pPr>
        <w:pStyle w:val="a4"/>
        <w:ind w:firstLine="720"/>
        <w:rPr>
          <w:rFonts w:asciiTheme="minorHAnsi" w:hAnsiTheme="minorHAnsi" w:cs="Arial"/>
          <w:szCs w:val="22"/>
        </w:rPr>
      </w:pPr>
    </w:p>
    <w:p w:rsidR="00A14BA7" w:rsidRPr="009D129E" w:rsidRDefault="00A14BA7" w:rsidP="009D129E">
      <w:pPr>
        <w:pStyle w:val="a7"/>
        <w:spacing w:line="240" w:lineRule="auto"/>
        <w:ind w:left="1134" w:hanging="1134"/>
        <w:jc w:val="both"/>
        <w:rPr>
          <w:rFonts w:asciiTheme="minorHAnsi" w:hAnsiTheme="minorHAnsi" w:cs="Arial"/>
        </w:rPr>
      </w:pPr>
      <w:r w:rsidRPr="009D129E">
        <w:rPr>
          <w:rFonts w:asciiTheme="minorHAnsi" w:hAnsiTheme="minorHAnsi" w:cs="Arial"/>
        </w:rPr>
        <w:t xml:space="preserve">Με το (α) σχετικό </w:t>
      </w:r>
      <w:r w:rsidR="00F027D4" w:rsidRPr="009D129E">
        <w:rPr>
          <w:rFonts w:asciiTheme="minorHAnsi" w:hAnsiTheme="minorHAnsi" w:cs="Arial"/>
        </w:rPr>
        <w:t>το ΔΣ του Δήμου Μοσχάτου- Ταύρου αποφάσισε:</w:t>
      </w:r>
    </w:p>
    <w:p w:rsidR="00F027D4" w:rsidRPr="009D129E" w:rsidRDefault="00F027D4" w:rsidP="009D129E">
      <w:pPr>
        <w:jc w:val="both"/>
        <w:rPr>
          <w:rFonts w:asciiTheme="minorHAnsi" w:eastAsia="Arial" w:hAnsiTheme="minorHAnsi" w:cs="Tahoma"/>
          <w:sz w:val="22"/>
          <w:szCs w:val="22"/>
        </w:rPr>
      </w:pPr>
      <w:r w:rsidRPr="009D129E">
        <w:rPr>
          <w:rFonts w:asciiTheme="minorHAnsi" w:eastAsia="Arial" w:hAnsiTheme="minorHAnsi" w:cs="Tahoma"/>
          <w:sz w:val="22"/>
          <w:szCs w:val="22"/>
        </w:rPr>
        <w:t>Α) Γνωμοδοτεί, σε συμμόρφωση και προς την 1054/2000 απόφαση του Συμβουλίου της Επικρατείας την άρση της δέσμευσης για απαλλοτρίωση (για δημιουργία ευρέως κοινόχρηστου χώρου) του ακινήτου ιδιοκτησίας κληρονόμων Νίκα, που βρίσκεται μεταξύ των Ο.Τ 201,196,195</w:t>
      </w:r>
      <w:r w:rsidR="00E00B05">
        <w:rPr>
          <w:rFonts w:asciiTheme="minorHAnsi" w:eastAsia="Arial" w:hAnsiTheme="minorHAnsi" w:cs="Tahoma"/>
          <w:sz w:val="22"/>
          <w:szCs w:val="22"/>
        </w:rPr>
        <w:t>,194</w:t>
      </w:r>
      <w:r w:rsidRPr="009D129E">
        <w:rPr>
          <w:rFonts w:asciiTheme="minorHAnsi" w:eastAsia="Arial" w:hAnsiTheme="minorHAnsi" w:cs="Tahoma"/>
          <w:sz w:val="22"/>
          <w:szCs w:val="22"/>
        </w:rPr>
        <w:t xml:space="preserve"> &amp; 202 της Δημοτικής Ενότητας (Κοινότητας) Μοσχάτου του Δήμου Μοσχάτου – Ταύρου, όπως αυτό περιγράφεται στην παραπάνω δικαστική απόφαση, με τροποποίηση του εγκεκριμένου ρυμοτομικού σχεδίου και αποχαρακτηρισμό του ακινήτου αυτού.</w:t>
      </w:r>
    </w:p>
    <w:p w:rsidR="00F027D4" w:rsidRPr="009D129E" w:rsidRDefault="00F027D4" w:rsidP="009D129E">
      <w:pPr>
        <w:jc w:val="both"/>
        <w:rPr>
          <w:rFonts w:asciiTheme="minorHAnsi" w:eastAsia="Arial" w:hAnsiTheme="minorHAnsi" w:cs="Tahoma"/>
          <w:sz w:val="22"/>
          <w:szCs w:val="22"/>
        </w:rPr>
      </w:pPr>
      <w:r w:rsidRPr="009D129E">
        <w:rPr>
          <w:rFonts w:asciiTheme="minorHAnsi" w:eastAsia="Arial" w:hAnsiTheme="minorHAnsi" w:cs="Tahoma"/>
          <w:sz w:val="22"/>
          <w:szCs w:val="22"/>
        </w:rPr>
        <w:t xml:space="preserve">Β) Την εξέταση της περίπτωσης της απευθείας αγοράς, </w:t>
      </w:r>
      <w:proofErr w:type="spellStart"/>
      <w:r w:rsidRPr="009D129E">
        <w:rPr>
          <w:rFonts w:asciiTheme="minorHAnsi" w:eastAsia="Arial" w:hAnsiTheme="minorHAnsi" w:cs="Tahoma"/>
          <w:sz w:val="22"/>
          <w:szCs w:val="22"/>
        </w:rPr>
        <w:t>κατ΄άρθρο</w:t>
      </w:r>
      <w:proofErr w:type="spellEnd"/>
      <w:r w:rsidRPr="009D129E">
        <w:rPr>
          <w:rFonts w:asciiTheme="minorHAnsi" w:eastAsia="Arial" w:hAnsiTheme="minorHAnsi" w:cs="Tahoma"/>
          <w:sz w:val="22"/>
          <w:szCs w:val="22"/>
        </w:rPr>
        <w:t xml:space="preserve"> 186 ΚΔΚ, του παραπάνω ακινήτου στο πλαίσιο αναβάθμισης της περιοχής, σε τιμή συμφέρουσα για το Δήμο, σύμφωνα και με την πρόταση των συνιδιοκτητριών, εφόσον προσκομιστούν από αυτές τα απαιτούμενα στοιχεία και σχετική πράξη αναγνώρισης ορίων του ακινήτου αυτού.»</w:t>
      </w:r>
    </w:p>
    <w:p w:rsidR="00CD39FD" w:rsidRDefault="00CD39FD" w:rsidP="009D129E">
      <w:pPr>
        <w:pStyle w:val="a4"/>
        <w:rPr>
          <w:rFonts w:asciiTheme="minorHAnsi" w:eastAsia="Calibri" w:hAnsiTheme="minorHAnsi" w:cs="Arial"/>
          <w:szCs w:val="22"/>
          <w:lang w:eastAsia="en-US"/>
        </w:rPr>
      </w:pPr>
    </w:p>
    <w:p w:rsidR="009D129E" w:rsidRPr="009D129E" w:rsidRDefault="009D129E" w:rsidP="009D129E">
      <w:pPr>
        <w:pStyle w:val="a4"/>
        <w:rPr>
          <w:rFonts w:asciiTheme="minorHAnsi" w:hAnsiTheme="minorHAnsi" w:cs="Arial"/>
          <w:szCs w:val="22"/>
        </w:rPr>
      </w:pPr>
      <w:r>
        <w:rPr>
          <w:rFonts w:asciiTheme="minorHAnsi" w:eastAsia="Calibri" w:hAnsiTheme="minorHAnsi" w:cs="Arial"/>
          <w:szCs w:val="22"/>
          <w:lang w:eastAsia="en-US"/>
        </w:rPr>
        <w:t xml:space="preserve">Με το (β) σχετικό αποφασίστηκε, από το Δημοτικό Συμβούλιο του Δήμου Μοσχάτου- Ταύρου, η βούληση του Δήμου για την </w:t>
      </w:r>
      <w:r w:rsidR="00D2095F">
        <w:rPr>
          <w:rFonts w:asciiTheme="minorHAnsi" w:eastAsia="Calibri" w:hAnsiTheme="minorHAnsi" w:cs="Arial"/>
          <w:szCs w:val="22"/>
          <w:lang w:eastAsia="en-US"/>
        </w:rPr>
        <w:t>απευθείας</w:t>
      </w:r>
      <w:r>
        <w:rPr>
          <w:rFonts w:asciiTheme="minorHAnsi" w:eastAsia="Calibri" w:hAnsiTheme="minorHAnsi" w:cs="Arial"/>
          <w:szCs w:val="22"/>
          <w:lang w:eastAsia="en-US"/>
        </w:rPr>
        <w:t xml:space="preserve"> αγορά ακινήτου επιφάνειας 190,91τμ, το οποίο βρίσκεται στον ευρύ κοινόχρηστο χώρο μεταξύ των Ο.Τ. 201,196,195,194 και 202 της Δ.Κ. Μοσχάτου του Δήμου Μοσχάτου- Ταύρου ιδιοκτησίας </w:t>
      </w:r>
      <w:proofErr w:type="spellStart"/>
      <w:r>
        <w:rPr>
          <w:rFonts w:asciiTheme="minorHAnsi" w:eastAsia="Calibri" w:hAnsiTheme="minorHAnsi" w:cs="Arial"/>
          <w:szCs w:val="22"/>
          <w:lang w:eastAsia="en-US"/>
        </w:rPr>
        <w:t>Αικ</w:t>
      </w:r>
      <w:proofErr w:type="spellEnd"/>
      <w:r>
        <w:rPr>
          <w:rFonts w:asciiTheme="minorHAnsi" w:eastAsia="Calibri" w:hAnsiTheme="minorHAnsi" w:cs="Arial"/>
          <w:szCs w:val="22"/>
          <w:lang w:eastAsia="en-US"/>
        </w:rPr>
        <w:t xml:space="preserve">. </w:t>
      </w:r>
      <w:proofErr w:type="spellStart"/>
      <w:r>
        <w:rPr>
          <w:rFonts w:asciiTheme="minorHAnsi" w:eastAsia="Calibri" w:hAnsiTheme="minorHAnsi" w:cs="Arial"/>
          <w:szCs w:val="22"/>
          <w:lang w:eastAsia="en-US"/>
        </w:rPr>
        <w:t>Γκιζελή</w:t>
      </w:r>
      <w:proofErr w:type="spellEnd"/>
      <w:r>
        <w:rPr>
          <w:rFonts w:asciiTheme="minorHAnsi" w:eastAsia="Calibri" w:hAnsiTheme="minorHAnsi" w:cs="Arial"/>
          <w:szCs w:val="22"/>
          <w:lang w:eastAsia="en-US"/>
        </w:rPr>
        <w:t xml:space="preserve"> &amp; Ευγενίας Νίκα στα πλαίσια αναβάθμισης της περιοχής υπό την προϋπόθε</w:t>
      </w:r>
      <w:r w:rsidR="00FD6BC2">
        <w:rPr>
          <w:rFonts w:asciiTheme="minorHAnsi" w:eastAsia="Calibri" w:hAnsiTheme="minorHAnsi" w:cs="Arial"/>
          <w:szCs w:val="22"/>
          <w:lang w:eastAsia="en-US"/>
        </w:rPr>
        <w:t>ση ότι θα υπάρξει συμφωνία των δ</w:t>
      </w:r>
      <w:r>
        <w:rPr>
          <w:rFonts w:asciiTheme="minorHAnsi" w:eastAsia="Calibri" w:hAnsiTheme="minorHAnsi" w:cs="Arial"/>
          <w:szCs w:val="22"/>
          <w:lang w:eastAsia="en-US"/>
        </w:rPr>
        <w:t>υο συμβαλλόμενων μ</w:t>
      </w:r>
      <w:r w:rsidR="00FD6BC2">
        <w:rPr>
          <w:rFonts w:asciiTheme="minorHAnsi" w:eastAsia="Calibri" w:hAnsiTheme="minorHAnsi" w:cs="Arial"/>
          <w:szCs w:val="22"/>
          <w:lang w:eastAsia="en-US"/>
        </w:rPr>
        <w:t>ερώ</w:t>
      </w:r>
      <w:r>
        <w:rPr>
          <w:rFonts w:asciiTheme="minorHAnsi" w:eastAsia="Calibri" w:hAnsiTheme="minorHAnsi" w:cs="Arial"/>
          <w:szCs w:val="22"/>
          <w:lang w:eastAsia="en-US"/>
        </w:rPr>
        <w:t>ν, σε τιμή συμφέρουσα για το Δήμο.</w:t>
      </w:r>
    </w:p>
    <w:p w:rsidR="00CD39FD" w:rsidRDefault="00CD39FD" w:rsidP="00AF4246">
      <w:pPr>
        <w:pStyle w:val="a4"/>
        <w:ind w:firstLine="720"/>
        <w:rPr>
          <w:rFonts w:asciiTheme="minorHAnsi" w:hAnsiTheme="minorHAnsi" w:cs="Arial"/>
          <w:szCs w:val="22"/>
        </w:rPr>
      </w:pPr>
    </w:p>
    <w:p w:rsidR="00A9586B" w:rsidRDefault="00A9586B" w:rsidP="00AF4246">
      <w:pPr>
        <w:pStyle w:val="a4"/>
        <w:ind w:firstLine="720"/>
        <w:rPr>
          <w:rFonts w:asciiTheme="minorHAnsi" w:hAnsiTheme="minorHAnsi" w:cs="Arial"/>
          <w:szCs w:val="22"/>
        </w:rPr>
      </w:pPr>
    </w:p>
    <w:p w:rsidR="00A9586B" w:rsidRDefault="00A9586B" w:rsidP="00AF4246">
      <w:pPr>
        <w:pStyle w:val="a4"/>
        <w:ind w:firstLine="720"/>
        <w:rPr>
          <w:rFonts w:asciiTheme="minorHAnsi" w:hAnsiTheme="minorHAnsi" w:cs="Arial"/>
          <w:szCs w:val="22"/>
        </w:rPr>
      </w:pPr>
    </w:p>
    <w:p w:rsidR="00A9586B" w:rsidRPr="009D129E" w:rsidRDefault="00A9586B" w:rsidP="00AF4246">
      <w:pPr>
        <w:pStyle w:val="a4"/>
        <w:ind w:firstLine="720"/>
        <w:rPr>
          <w:rFonts w:asciiTheme="minorHAnsi" w:hAnsiTheme="minorHAnsi" w:cs="Arial"/>
          <w:szCs w:val="22"/>
        </w:rPr>
      </w:pPr>
    </w:p>
    <w:p w:rsidR="00CD39FD" w:rsidRPr="009D129E" w:rsidRDefault="00CD39FD" w:rsidP="00AF4246">
      <w:pPr>
        <w:pStyle w:val="a4"/>
        <w:ind w:firstLine="720"/>
        <w:rPr>
          <w:rFonts w:asciiTheme="minorHAnsi" w:hAnsiTheme="minorHAnsi" w:cs="Arial"/>
          <w:szCs w:val="22"/>
        </w:rPr>
      </w:pPr>
    </w:p>
    <w:p w:rsidR="003D1C91" w:rsidRDefault="003D1C91" w:rsidP="003D1C91">
      <w:pPr>
        <w:pStyle w:val="a4"/>
        <w:ind w:firstLine="720"/>
        <w:rPr>
          <w:rFonts w:asciiTheme="minorHAnsi" w:hAnsiTheme="minorHAnsi" w:cs="Arial"/>
          <w:szCs w:val="22"/>
        </w:rPr>
      </w:pPr>
      <w:r>
        <w:rPr>
          <w:rFonts w:asciiTheme="minorHAnsi" w:hAnsiTheme="minorHAnsi" w:cs="Arial"/>
          <w:szCs w:val="22"/>
        </w:rPr>
        <w:lastRenderedPageBreak/>
        <w:t>Κατόπιν των παραπάνω και έ</w:t>
      </w:r>
      <w:r w:rsidR="00876397" w:rsidRPr="009D129E">
        <w:rPr>
          <w:rFonts w:asciiTheme="minorHAnsi" w:hAnsiTheme="minorHAnsi" w:cs="Arial"/>
          <w:szCs w:val="22"/>
        </w:rPr>
        <w:t>χοντας υπόψη:</w:t>
      </w:r>
    </w:p>
    <w:p w:rsidR="003D1C91" w:rsidRPr="003D1C91" w:rsidRDefault="003D1C91" w:rsidP="003D1C91">
      <w:pPr>
        <w:pStyle w:val="a4"/>
        <w:numPr>
          <w:ilvl w:val="0"/>
          <w:numId w:val="3"/>
        </w:numPr>
        <w:rPr>
          <w:rFonts w:asciiTheme="minorHAnsi" w:eastAsia="Arial" w:hAnsiTheme="minorHAnsi" w:cs="Tahoma"/>
        </w:rPr>
      </w:pPr>
      <w:r>
        <w:rPr>
          <w:rFonts w:asciiTheme="minorHAnsi" w:hAnsiTheme="minorHAnsi" w:cs="Arial"/>
          <w:szCs w:val="22"/>
        </w:rPr>
        <w:t>Το γεγονός ότι η εν λόγω ιδιοκτησία, αποτελεί συνέχεια όμορης ιδιοκτησίας έκτασης 1130,00τ.μ. (</w:t>
      </w:r>
      <w:r w:rsidRPr="009D129E">
        <w:rPr>
          <w:rFonts w:asciiTheme="minorHAnsi" w:eastAsia="Arial" w:hAnsiTheme="minorHAnsi" w:cs="Tahoma"/>
        </w:rPr>
        <w:t xml:space="preserve">ανήκει στον ευρύ κοινόχρηστο χώρο </w:t>
      </w:r>
      <w:r w:rsidRPr="009D129E">
        <w:rPr>
          <w:rFonts w:asciiTheme="minorHAnsi" w:hAnsiTheme="minorHAnsi" w:cs="Arial"/>
        </w:rPr>
        <w:t>μεταξύ των Ο.Τ. 201,196,195,194 και 202</w:t>
      </w:r>
      <w:r>
        <w:rPr>
          <w:rFonts w:asciiTheme="minorHAnsi" w:hAnsiTheme="minorHAnsi" w:cs="Arial"/>
        </w:rPr>
        <w:t xml:space="preserve">), για την οποία ιδιοκτησία έχει εκδοθεί η </w:t>
      </w:r>
      <w:proofErr w:type="spellStart"/>
      <w:r>
        <w:rPr>
          <w:rFonts w:asciiTheme="minorHAnsi" w:hAnsiTheme="minorHAnsi" w:cs="Arial"/>
        </w:rPr>
        <w:t>υπ΄αριθμ</w:t>
      </w:r>
      <w:proofErr w:type="spellEnd"/>
      <w:r>
        <w:rPr>
          <w:rFonts w:asciiTheme="minorHAnsi" w:hAnsiTheme="minorHAnsi" w:cs="Arial"/>
        </w:rPr>
        <w:t xml:space="preserve">. </w:t>
      </w:r>
      <w:r w:rsidRPr="009D129E">
        <w:rPr>
          <w:rFonts w:asciiTheme="minorHAnsi" w:hAnsiTheme="minorHAnsi" w:cs="Arial"/>
        </w:rPr>
        <w:t>Α6978/2017 απόφαση του</w:t>
      </w:r>
      <w:r w:rsidRPr="009D129E">
        <w:rPr>
          <w:rFonts w:asciiTheme="minorHAnsi" w:eastAsia="Arial" w:hAnsiTheme="minorHAnsi" w:cs="Tahoma"/>
        </w:rPr>
        <w:t xml:space="preserve"> Διοικητικού Πρωτοδικείου Πειραιά </w:t>
      </w:r>
      <w:r>
        <w:rPr>
          <w:rFonts w:asciiTheme="minorHAnsi" w:eastAsia="Arial" w:hAnsiTheme="minorHAnsi" w:cs="Tahoma"/>
        </w:rPr>
        <w:t xml:space="preserve">περί </w:t>
      </w:r>
      <w:r w:rsidRPr="003D1C91">
        <w:rPr>
          <w:rFonts w:asciiTheme="minorHAnsi" w:hAnsiTheme="minorHAnsi" w:cs="Arial"/>
        </w:rPr>
        <w:t>άρσης απαλλοτρίωσης</w:t>
      </w:r>
      <w:r>
        <w:rPr>
          <w:rFonts w:asciiTheme="minorHAnsi" w:hAnsiTheme="minorHAnsi" w:cs="Arial"/>
        </w:rPr>
        <w:t>.</w:t>
      </w:r>
    </w:p>
    <w:p w:rsidR="003D1C91" w:rsidRPr="003D1C91" w:rsidRDefault="003D1C91" w:rsidP="003D1C91">
      <w:pPr>
        <w:pStyle w:val="a4"/>
        <w:ind w:left="1440"/>
        <w:rPr>
          <w:rFonts w:asciiTheme="minorHAnsi" w:eastAsia="Arial" w:hAnsiTheme="minorHAnsi" w:cs="Tahoma"/>
        </w:rPr>
      </w:pPr>
    </w:p>
    <w:p w:rsidR="003D1C91" w:rsidRPr="009D129E" w:rsidRDefault="003D1C91" w:rsidP="003D1C91">
      <w:pPr>
        <w:pStyle w:val="a4"/>
        <w:numPr>
          <w:ilvl w:val="0"/>
          <w:numId w:val="3"/>
        </w:numPr>
        <w:rPr>
          <w:rFonts w:asciiTheme="minorHAnsi" w:hAnsiTheme="minorHAnsi" w:cs="Arial"/>
          <w:szCs w:val="22"/>
        </w:rPr>
      </w:pPr>
      <w:r>
        <w:rPr>
          <w:rFonts w:asciiTheme="minorHAnsi" w:eastAsia="Arial" w:hAnsiTheme="minorHAnsi" w:cs="Tahoma"/>
          <w:szCs w:val="22"/>
        </w:rPr>
        <w:t>Το γεγονός ότι η</w:t>
      </w:r>
      <w:r w:rsidRPr="009D129E">
        <w:rPr>
          <w:rFonts w:asciiTheme="minorHAnsi" w:eastAsia="Arial" w:hAnsiTheme="minorHAnsi" w:cs="Tahoma"/>
          <w:szCs w:val="22"/>
        </w:rPr>
        <w:t xml:space="preserve"> έκταση της ιδιοκτησίας των </w:t>
      </w:r>
      <w:proofErr w:type="spellStart"/>
      <w:r w:rsidRPr="009D129E">
        <w:rPr>
          <w:rFonts w:asciiTheme="minorHAnsi" w:eastAsia="Arial" w:hAnsiTheme="minorHAnsi" w:cs="Tahoma"/>
          <w:szCs w:val="22"/>
        </w:rPr>
        <w:t>κ.κ</w:t>
      </w:r>
      <w:proofErr w:type="spellEnd"/>
      <w:r w:rsidRPr="009D129E">
        <w:rPr>
          <w:rFonts w:asciiTheme="minorHAnsi" w:eastAsia="Arial" w:hAnsiTheme="minorHAnsi" w:cs="Tahoma"/>
          <w:szCs w:val="22"/>
        </w:rPr>
        <w:t xml:space="preserve">. </w:t>
      </w:r>
      <w:proofErr w:type="spellStart"/>
      <w:r w:rsidRPr="009D129E">
        <w:rPr>
          <w:rFonts w:asciiTheme="minorHAnsi" w:eastAsia="Arial" w:hAnsiTheme="minorHAnsi" w:cs="Tahoma"/>
          <w:szCs w:val="22"/>
        </w:rPr>
        <w:t>Γκιζελή</w:t>
      </w:r>
      <w:proofErr w:type="spellEnd"/>
      <w:r w:rsidRPr="009D129E">
        <w:rPr>
          <w:rFonts w:asciiTheme="minorHAnsi" w:eastAsia="Arial" w:hAnsiTheme="minorHAnsi" w:cs="Tahoma"/>
          <w:szCs w:val="22"/>
        </w:rPr>
        <w:t>- Νίκα, έκτασης 190,91τ</w:t>
      </w:r>
      <w:r>
        <w:rPr>
          <w:rFonts w:asciiTheme="minorHAnsi" w:eastAsia="Arial" w:hAnsiTheme="minorHAnsi" w:cs="Tahoma"/>
          <w:szCs w:val="22"/>
        </w:rPr>
        <w:t>.</w:t>
      </w:r>
      <w:r w:rsidRPr="009D129E">
        <w:rPr>
          <w:rFonts w:asciiTheme="minorHAnsi" w:eastAsia="Arial" w:hAnsiTheme="minorHAnsi" w:cs="Tahoma"/>
          <w:szCs w:val="22"/>
        </w:rPr>
        <w:t>μ</w:t>
      </w:r>
      <w:r>
        <w:rPr>
          <w:rFonts w:asciiTheme="minorHAnsi" w:eastAsia="Arial" w:hAnsiTheme="minorHAnsi" w:cs="Tahoma"/>
          <w:szCs w:val="22"/>
        </w:rPr>
        <w:t>.</w:t>
      </w:r>
      <w:r w:rsidRPr="009D129E">
        <w:rPr>
          <w:rFonts w:asciiTheme="minorHAnsi" w:eastAsia="Arial" w:hAnsiTheme="minorHAnsi" w:cs="Tahoma"/>
          <w:szCs w:val="22"/>
        </w:rPr>
        <w:t>, είναι μη άρτια και μη οικοδομήσιμη έκταση</w:t>
      </w:r>
      <w:r>
        <w:rPr>
          <w:rFonts w:asciiTheme="minorHAnsi" w:eastAsia="Arial" w:hAnsiTheme="minorHAnsi" w:cs="Tahoma"/>
          <w:szCs w:val="22"/>
        </w:rPr>
        <w:t xml:space="preserve"> και δεν δύναται να αξιοποιηθεί ως οικοδομήσιμη έκταση, ήτοι πολύ μικρή για την κάλυψη των αναγκών της περιοχής σε κοινόχρηστο χώρο</w:t>
      </w:r>
      <w:r w:rsidRPr="009D129E">
        <w:rPr>
          <w:rFonts w:asciiTheme="minorHAnsi" w:eastAsia="Arial" w:hAnsiTheme="minorHAnsi" w:cs="Tahoma"/>
          <w:szCs w:val="22"/>
        </w:rPr>
        <w:t xml:space="preserve"> </w:t>
      </w:r>
    </w:p>
    <w:p w:rsidR="002B382C" w:rsidRPr="009D129E" w:rsidRDefault="002B382C" w:rsidP="00AF4246">
      <w:pPr>
        <w:pStyle w:val="a4"/>
        <w:ind w:left="1440"/>
        <w:rPr>
          <w:rFonts w:asciiTheme="minorHAnsi" w:hAnsiTheme="minorHAnsi" w:cs="Arial"/>
          <w:szCs w:val="22"/>
        </w:rPr>
      </w:pPr>
    </w:p>
    <w:p w:rsidR="00876397" w:rsidRPr="009D129E" w:rsidRDefault="003D1C91" w:rsidP="00AF4246">
      <w:pPr>
        <w:pStyle w:val="a4"/>
        <w:ind w:firstLine="720"/>
        <w:rPr>
          <w:rFonts w:asciiTheme="minorHAnsi" w:hAnsiTheme="minorHAnsi" w:cs="Arial"/>
          <w:szCs w:val="22"/>
        </w:rPr>
      </w:pPr>
      <w:r>
        <w:rPr>
          <w:rFonts w:asciiTheme="minorHAnsi" w:hAnsiTheme="minorHAnsi" w:cs="Arial"/>
          <w:szCs w:val="22"/>
        </w:rPr>
        <w:t>παρακαλούμε για την επανεξέταση της περίπτωσης αγοράς του ακινήτου.</w:t>
      </w:r>
    </w:p>
    <w:p w:rsidR="003C6340" w:rsidRDefault="003C6340" w:rsidP="0081754B">
      <w:pPr>
        <w:pStyle w:val="a4"/>
        <w:spacing w:line="360" w:lineRule="auto"/>
        <w:ind w:firstLine="720"/>
        <w:rPr>
          <w:rFonts w:cs="Arial"/>
          <w:szCs w:val="22"/>
        </w:rPr>
      </w:pPr>
    </w:p>
    <w:p w:rsidR="00EA0226" w:rsidRDefault="00EA0226" w:rsidP="00EA0226">
      <w:pPr>
        <w:pStyle w:val="a4"/>
        <w:spacing w:line="360" w:lineRule="auto"/>
        <w:ind w:firstLine="720"/>
        <w:rPr>
          <w:rFonts w:cs="Arial"/>
          <w:szCs w:val="22"/>
        </w:rPr>
      </w:pPr>
    </w:p>
    <w:p w:rsidR="00EA0226" w:rsidRDefault="00EA0226" w:rsidP="000909C8">
      <w:pPr>
        <w:pStyle w:val="a4"/>
        <w:ind w:firstLine="720"/>
        <w:rPr>
          <w:rFonts w:cs="Arial"/>
          <w:szCs w:val="22"/>
        </w:rPr>
      </w:pPr>
    </w:p>
    <w:p w:rsidR="00EA0226" w:rsidRDefault="00EA0226" w:rsidP="000909C8">
      <w:pPr>
        <w:pStyle w:val="a4"/>
        <w:ind w:firstLine="720"/>
        <w:rPr>
          <w:rFonts w:cs="Arial"/>
          <w:szCs w:val="22"/>
        </w:rPr>
      </w:pPr>
    </w:p>
    <w:p w:rsidR="00EA0226" w:rsidRDefault="00EA0226" w:rsidP="000909C8">
      <w:pPr>
        <w:pStyle w:val="a4"/>
        <w:ind w:firstLine="720"/>
        <w:rPr>
          <w:rFonts w:cs="Arial"/>
          <w:szCs w:val="22"/>
        </w:rPr>
      </w:pPr>
    </w:p>
    <w:p w:rsidR="000909C8" w:rsidRDefault="000909C8" w:rsidP="007577A6"/>
    <w:p w:rsidR="000909C8" w:rsidRDefault="000909C8" w:rsidP="007577A6"/>
    <w:p w:rsidR="000909C8" w:rsidRDefault="000909C8" w:rsidP="007577A6"/>
    <w:p w:rsidR="000909C8" w:rsidRDefault="000909C8" w:rsidP="007577A6"/>
    <w:p w:rsidR="000909C8" w:rsidRDefault="000909C8" w:rsidP="007577A6"/>
    <w:tbl>
      <w:tblPr>
        <w:tblW w:w="0" w:type="auto"/>
        <w:jc w:val="center"/>
        <w:tblInd w:w="-616" w:type="dxa"/>
        <w:tblLayout w:type="fixed"/>
        <w:tblLook w:val="0000"/>
      </w:tblPr>
      <w:tblGrid>
        <w:gridCol w:w="3353"/>
        <w:gridCol w:w="2904"/>
        <w:gridCol w:w="3703"/>
      </w:tblGrid>
      <w:tr w:rsidR="0081754B" w:rsidRPr="005A7D40" w:rsidTr="00756BD3">
        <w:trPr>
          <w:cantSplit/>
          <w:trHeight w:val="409"/>
          <w:jc w:val="center"/>
        </w:trPr>
        <w:tc>
          <w:tcPr>
            <w:tcW w:w="3353" w:type="dxa"/>
          </w:tcPr>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Ο Εντεταλμένος Σύμβουλος</w:t>
            </w:r>
          </w:p>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Τ.Υ.ΔΜ-Τ &amp; Δόμησης</w:t>
            </w: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ΣΑΒΒΑΣ ΙΩΑΝΝΗΣ</w:t>
            </w:r>
          </w:p>
          <w:p w:rsidR="0081754B" w:rsidRPr="00F3330D" w:rsidRDefault="0081754B" w:rsidP="00E0452D">
            <w:pPr>
              <w:pStyle w:val="a3"/>
              <w:tabs>
                <w:tab w:val="clear" w:pos="4153"/>
                <w:tab w:val="clear" w:pos="8306"/>
              </w:tabs>
              <w:spacing w:line="276" w:lineRule="auto"/>
              <w:jc w:val="center"/>
              <w:rPr>
                <w:rFonts w:asciiTheme="minorHAnsi" w:hAnsiTheme="minorHAnsi" w:cs="Arial"/>
                <w:sz w:val="22"/>
                <w:szCs w:val="22"/>
              </w:rPr>
            </w:pPr>
          </w:p>
        </w:tc>
        <w:tc>
          <w:tcPr>
            <w:tcW w:w="2904" w:type="dxa"/>
          </w:tcPr>
          <w:p w:rsidR="0081754B" w:rsidRPr="00F3330D" w:rsidRDefault="0081754B" w:rsidP="00E0452D">
            <w:pPr>
              <w:spacing w:line="276" w:lineRule="auto"/>
              <w:jc w:val="center"/>
              <w:rPr>
                <w:rFonts w:asciiTheme="minorHAnsi" w:hAnsiTheme="minorHAnsi" w:cs="Arial"/>
                <w:sz w:val="22"/>
                <w:szCs w:val="22"/>
              </w:rPr>
            </w:pPr>
          </w:p>
        </w:tc>
        <w:tc>
          <w:tcPr>
            <w:tcW w:w="3703" w:type="dxa"/>
          </w:tcPr>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Η Διευθύντρια</w:t>
            </w:r>
          </w:p>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Τ.Υ.ΔΜ-Τ &amp; Δόμησης</w:t>
            </w: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p>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ΤΣΙΩΛΗ ΑΜΑΛΙΑ</w:t>
            </w:r>
          </w:p>
          <w:p w:rsidR="0081754B" w:rsidRPr="00F3330D" w:rsidRDefault="0081754B" w:rsidP="00E0452D">
            <w:pPr>
              <w:spacing w:line="276" w:lineRule="auto"/>
              <w:jc w:val="center"/>
              <w:rPr>
                <w:rFonts w:asciiTheme="minorHAnsi" w:hAnsiTheme="minorHAnsi" w:cs="Arial"/>
                <w:sz w:val="22"/>
                <w:szCs w:val="22"/>
              </w:rPr>
            </w:pPr>
            <w:r w:rsidRPr="00F3330D">
              <w:rPr>
                <w:rFonts w:asciiTheme="minorHAnsi" w:hAnsiTheme="minorHAnsi" w:cs="Arial"/>
                <w:sz w:val="22"/>
                <w:szCs w:val="22"/>
              </w:rPr>
              <w:t>ΠΟΛΙΤΙΚΟΣ ΜΗΧΑΝΙΚΟΣ ΤΕ</w:t>
            </w:r>
          </w:p>
        </w:tc>
      </w:tr>
    </w:tbl>
    <w:p w:rsidR="00740695" w:rsidRDefault="00740695">
      <w:pPr>
        <w:jc w:val="center"/>
      </w:pPr>
    </w:p>
    <w:p w:rsidR="00740695" w:rsidRDefault="00740695">
      <w:pPr>
        <w:jc w:val="center"/>
      </w:pPr>
    </w:p>
    <w:p w:rsidR="00740695" w:rsidRDefault="00740695">
      <w:pPr>
        <w:jc w:val="center"/>
      </w:pPr>
    </w:p>
    <w:p w:rsidR="00740695" w:rsidRDefault="00740695" w:rsidP="00740695"/>
    <w:p w:rsidR="00740695" w:rsidRDefault="00740695" w:rsidP="00740695"/>
    <w:p w:rsidR="00740695" w:rsidRDefault="00740695" w:rsidP="00740695"/>
    <w:p w:rsidR="00740695" w:rsidRDefault="00740695" w:rsidP="00740695">
      <w:pPr>
        <w:rPr>
          <w:rFonts w:ascii="Calibri" w:hAnsi="Calibri"/>
          <w:sz w:val="20"/>
          <w:szCs w:val="20"/>
        </w:rPr>
      </w:pPr>
      <w:r>
        <w:rPr>
          <w:rFonts w:ascii="Calibri" w:hAnsi="Calibri"/>
          <w:sz w:val="20"/>
          <w:szCs w:val="20"/>
        </w:rPr>
        <w:t>Συνημμένα:</w:t>
      </w:r>
    </w:p>
    <w:p w:rsidR="00740695" w:rsidRDefault="00740695" w:rsidP="00740695">
      <w:pPr>
        <w:pStyle w:val="a6"/>
        <w:numPr>
          <w:ilvl w:val="0"/>
          <w:numId w:val="4"/>
        </w:numPr>
        <w:rPr>
          <w:rFonts w:ascii="Calibri" w:hAnsi="Calibri"/>
          <w:sz w:val="20"/>
          <w:szCs w:val="20"/>
        </w:rPr>
      </w:pPr>
      <w:r>
        <w:rPr>
          <w:rFonts w:ascii="Calibri" w:hAnsi="Calibri"/>
          <w:sz w:val="20"/>
          <w:szCs w:val="20"/>
        </w:rPr>
        <w:t xml:space="preserve">Η </w:t>
      </w:r>
      <w:proofErr w:type="spellStart"/>
      <w:r>
        <w:rPr>
          <w:rFonts w:ascii="Calibri" w:hAnsi="Calibri"/>
          <w:sz w:val="20"/>
          <w:szCs w:val="20"/>
        </w:rPr>
        <w:t>υπ΄αριθμ</w:t>
      </w:r>
      <w:proofErr w:type="spellEnd"/>
      <w:r>
        <w:rPr>
          <w:rFonts w:ascii="Calibri" w:hAnsi="Calibri"/>
          <w:sz w:val="20"/>
          <w:szCs w:val="20"/>
        </w:rPr>
        <w:t>. 18/11-2-2019 απόφαση του ΔΣ</w:t>
      </w:r>
    </w:p>
    <w:p w:rsidR="00740695" w:rsidRPr="00740695" w:rsidRDefault="00740695" w:rsidP="00740695">
      <w:pPr>
        <w:pStyle w:val="a6"/>
        <w:numPr>
          <w:ilvl w:val="0"/>
          <w:numId w:val="4"/>
        </w:numPr>
        <w:rPr>
          <w:rFonts w:ascii="Calibri" w:hAnsi="Calibri"/>
          <w:sz w:val="20"/>
          <w:szCs w:val="20"/>
        </w:rPr>
      </w:pPr>
      <w:r>
        <w:rPr>
          <w:rFonts w:ascii="Calibri" w:hAnsi="Calibri"/>
          <w:sz w:val="20"/>
          <w:szCs w:val="20"/>
        </w:rPr>
        <w:t xml:space="preserve">Η </w:t>
      </w:r>
      <w:proofErr w:type="spellStart"/>
      <w:r>
        <w:rPr>
          <w:rFonts w:ascii="Calibri" w:hAnsi="Calibri"/>
          <w:sz w:val="20"/>
          <w:szCs w:val="20"/>
        </w:rPr>
        <w:t>υπ΄αριθμ</w:t>
      </w:r>
      <w:proofErr w:type="spellEnd"/>
      <w:r>
        <w:rPr>
          <w:rFonts w:ascii="Calibri" w:hAnsi="Calibri"/>
          <w:sz w:val="20"/>
          <w:szCs w:val="20"/>
        </w:rPr>
        <w:t>. 1</w:t>
      </w:r>
      <w:r w:rsidR="00F3330D">
        <w:rPr>
          <w:rFonts w:ascii="Calibri" w:hAnsi="Calibri"/>
          <w:sz w:val="20"/>
          <w:szCs w:val="20"/>
        </w:rPr>
        <w:t>52</w:t>
      </w:r>
      <w:r>
        <w:rPr>
          <w:rFonts w:ascii="Calibri" w:hAnsi="Calibri"/>
          <w:sz w:val="20"/>
          <w:szCs w:val="20"/>
        </w:rPr>
        <w:t>/</w:t>
      </w:r>
      <w:r w:rsidR="00F3330D">
        <w:rPr>
          <w:rFonts w:ascii="Calibri" w:hAnsi="Calibri"/>
          <w:sz w:val="20"/>
          <w:szCs w:val="20"/>
        </w:rPr>
        <w:t>22</w:t>
      </w:r>
      <w:r>
        <w:rPr>
          <w:rFonts w:ascii="Calibri" w:hAnsi="Calibri"/>
          <w:sz w:val="20"/>
          <w:szCs w:val="20"/>
        </w:rPr>
        <w:t>-</w:t>
      </w:r>
      <w:r w:rsidR="00F3330D">
        <w:rPr>
          <w:rFonts w:ascii="Calibri" w:hAnsi="Calibri"/>
          <w:sz w:val="20"/>
          <w:szCs w:val="20"/>
        </w:rPr>
        <w:t>4</w:t>
      </w:r>
      <w:r>
        <w:rPr>
          <w:rFonts w:ascii="Calibri" w:hAnsi="Calibri"/>
          <w:sz w:val="20"/>
          <w:szCs w:val="20"/>
        </w:rPr>
        <w:t>-2019 απόφαση του ΔΣ</w:t>
      </w:r>
    </w:p>
    <w:p w:rsidR="00740695" w:rsidRPr="00F3330D" w:rsidRDefault="00F3330D" w:rsidP="00740695">
      <w:pPr>
        <w:pStyle w:val="a6"/>
        <w:numPr>
          <w:ilvl w:val="0"/>
          <w:numId w:val="4"/>
        </w:numPr>
        <w:rPr>
          <w:rFonts w:ascii="Calibri" w:hAnsi="Calibri"/>
          <w:sz w:val="20"/>
          <w:szCs w:val="20"/>
        </w:rPr>
      </w:pPr>
      <w:r w:rsidRPr="00F3330D">
        <w:rPr>
          <w:rFonts w:asciiTheme="minorHAnsi" w:hAnsiTheme="minorHAnsi" w:cs="Arial"/>
          <w:sz w:val="20"/>
          <w:szCs w:val="20"/>
        </w:rPr>
        <w:t xml:space="preserve">Η </w:t>
      </w:r>
      <w:proofErr w:type="spellStart"/>
      <w:r w:rsidRPr="00F3330D">
        <w:rPr>
          <w:rFonts w:asciiTheme="minorHAnsi" w:hAnsiTheme="minorHAnsi" w:cs="Arial"/>
          <w:sz w:val="20"/>
          <w:szCs w:val="20"/>
        </w:rPr>
        <w:t>υπ΄αριθμ</w:t>
      </w:r>
      <w:proofErr w:type="spellEnd"/>
      <w:r w:rsidRPr="00F3330D">
        <w:rPr>
          <w:rFonts w:asciiTheme="minorHAnsi" w:hAnsiTheme="minorHAnsi" w:cs="Arial"/>
          <w:sz w:val="20"/>
          <w:szCs w:val="20"/>
        </w:rPr>
        <w:t>. Α6978/2017 απόφαση του</w:t>
      </w:r>
      <w:r w:rsidRPr="00F3330D">
        <w:rPr>
          <w:rFonts w:asciiTheme="minorHAnsi" w:eastAsia="Arial" w:hAnsiTheme="minorHAnsi" w:cs="Tahoma"/>
          <w:sz w:val="20"/>
          <w:szCs w:val="20"/>
        </w:rPr>
        <w:t xml:space="preserve"> Διοικητικού Πρωτοδικείου Πειραιά</w:t>
      </w:r>
    </w:p>
    <w:sectPr w:rsidR="00740695" w:rsidRPr="00F3330D" w:rsidSect="00527599">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2">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noPunctuationKerning/>
  <w:characterSpacingControl w:val="doNotCompress"/>
  <w:compat/>
  <w:rsids>
    <w:rsidRoot w:val="001D3B24"/>
    <w:rsid w:val="00027916"/>
    <w:rsid w:val="00054733"/>
    <w:rsid w:val="000759CD"/>
    <w:rsid w:val="000769B2"/>
    <w:rsid w:val="000847D1"/>
    <w:rsid w:val="000909C8"/>
    <w:rsid w:val="000F18BC"/>
    <w:rsid w:val="000F2DEF"/>
    <w:rsid w:val="001158C2"/>
    <w:rsid w:val="00163E76"/>
    <w:rsid w:val="001A6DAA"/>
    <w:rsid w:val="001A6FA1"/>
    <w:rsid w:val="001C130A"/>
    <w:rsid w:val="001D3B24"/>
    <w:rsid w:val="001D3F7D"/>
    <w:rsid w:val="00244C95"/>
    <w:rsid w:val="00256351"/>
    <w:rsid w:val="00266E93"/>
    <w:rsid w:val="00282BE7"/>
    <w:rsid w:val="00294A71"/>
    <w:rsid w:val="00296ADD"/>
    <w:rsid w:val="002B382C"/>
    <w:rsid w:val="002D579D"/>
    <w:rsid w:val="002E0A69"/>
    <w:rsid w:val="002E2F15"/>
    <w:rsid w:val="00307937"/>
    <w:rsid w:val="00330F4D"/>
    <w:rsid w:val="00332DBE"/>
    <w:rsid w:val="00345E4D"/>
    <w:rsid w:val="00356B52"/>
    <w:rsid w:val="003B7912"/>
    <w:rsid w:val="003C6340"/>
    <w:rsid w:val="003D1C91"/>
    <w:rsid w:val="003E699B"/>
    <w:rsid w:val="00402E2B"/>
    <w:rsid w:val="00464CE2"/>
    <w:rsid w:val="00484399"/>
    <w:rsid w:val="00486026"/>
    <w:rsid w:val="004A0851"/>
    <w:rsid w:val="004B1787"/>
    <w:rsid w:val="00527599"/>
    <w:rsid w:val="00537249"/>
    <w:rsid w:val="00572B9D"/>
    <w:rsid w:val="005740A1"/>
    <w:rsid w:val="00585DDB"/>
    <w:rsid w:val="005A5A03"/>
    <w:rsid w:val="005A7D40"/>
    <w:rsid w:val="006033C1"/>
    <w:rsid w:val="006111C3"/>
    <w:rsid w:val="00644EA8"/>
    <w:rsid w:val="006B6D21"/>
    <w:rsid w:val="006F4848"/>
    <w:rsid w:val="00740695"/>
    <w:rsid w:val="007577A6"/>
    <w:rsid w:val="00791534"/>
    <w:rsid w:val="007D1BA4"/>
    <w:rsid w:val="007D4CDA"/>
    <w:rsid w:val="007E5402"/>
    <w:rsid w:val="0081754B"/>
    <w:rsid w:val="00836B67"/>
    <w:rsid w:val="008462CC"/>
    <w:rsid w:val="00866713"/>
    <w:rsid w:val="00876397"/>
    <w:rsid w:val="008916FF"/>
    <w:rsid w:val="008953B2"/>
    <w:rsid w:val="008B731E"/>
    <w:rsid w:val="008E668C"/>
    <w:rsid w:val="00932FBC"/>
    <w:rsid w:val="00965512"/>
    <w:rsid w:val="00970832"/>
    <w:rsid w:val="009847E1"/>
    <w:rsid w:val="009A54CA"/>
    <w:rsid w:val="009B0E36"/>
    <w:rsid w:val="009C437E"/>
    <w:rsid w:val="009C7ED7"/>
    <w:rsid w:val="009D129E"/>
    <w:rsid w:val="00A14BA7"/>
    <w:rsid w:val="00A37720"/>
    <w:rsid w:val="00A407F0"/>
    <w:rsid w:val="00A508C1"/>
    <w:rsid w:val="00A74608"/>
    <w:rsid w:val="00A9586B"/>
    <w:rsid w:val="00AB1493"/>
    <w:rsid w:val="00AE741F"/>
    <w:rsid w:val="00AF332D"/>
    <w:rsid w:val="00AF4246"/>
    <w:rsid w:val="00B113E8"/>
    <w:rsid w:val="00B20BBB"/>
    <w:rsid w:val="00B37D12"/>
    <w:rsid w:val="00B44109"/>
    <w:rsid w:val="00B46CED"/>
    <w:rsid w:val="00B84756"/>
    <w:rsid w:val="00B91D97"/>
    <w:rsid w:val="00BA0071"/>
    <w:rsid w:val="00BA7927"/>
    <w:rsid w:val="00BB0DBA"/>
    <w:rsid w:val="00BD4016"/>
    <w:rsid w:val="00C12F9A"/>
    <w:rsid w:val="00C57475"/>
    <w:rsid w:val="00C71492"/>
    <w:rsid w:val="00C71637"/>
    <w:rsid w:val="00C920CD"/>
    <w:rsid w:val="00C97FA0"/>
    <w:rsid w:val="00CA100A"/>
    <w:rsid w:val="00CC47E9"/>
    <w:rsid w:val="00CD39FD"/>
    <w:rsid w:val="00CE74FE"/>
    <w:rsid w:val="00CF0E30"/>
    <w:rsid w:val="00D2095F"/>
    <w:rsid w:val="00D20FB4"/>
    <w:rsid w:val="00D3305A"/>
    <w:rsid w:val="00D33B65"/>
    <w:rsid w:val="00D65830"/>
    <w:rsid w:val="00D76E6A"/>
    <w:rsid w:val="00D806BE"/>
    <w:rsid w:val="00D80EC7"/>
    <w:rsid w:val="00DB07F0"/>
    <w:rsid w:val="00DC33BC"/>
    <w:rsid w:val="00E00B05"/>
    <w:rsid w:val="00E3419F"/>
    <w:rsid w:val="00E375F0"/>
    <w:rsid w:val="00E676A4"/>
    <w:rsid w:val="00E80A80"/>
    <w:rsid w:val="00EA0226"/>
    <w:rsid w:val="00EB7A8E"/>
    <w:rsid w:val="00ED0FF2"/>
    <w:rsid w:val="00EF556A"/>
    <w:rsid w:val="00EF64DF"/>
    <w:rsid w:val="00F027D4"/>
    <w:rsid w:val="00F223A1"/>
    <w:rsid w:val="00F3330D"/>
    <w:rsid w:val="00F56D77"/>
    <w:rsid w:val="00F656A0"/>
    <w:rsid w:val="00F9384F"/>
    <w:rsid w:val="00FD6BC2"/>
    <w:rsid w:val="00FD7133"/>
    <w:rsid w:val="00FF4D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505</Words>
  <Characters>2727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14</cp:revision>
  <cp:lastPrinted>2021-10-15T08:49:00Z</cp:lastPrinted>
  <dcterms:created xsi:type="dcterms:W3CDTF">2021-10-08T09:42:00Z</dcterms:created>
  <dcterms:modified xsi:type="dcterms:W3CDTF">2021-10-15T08:54:00Z</dcterms:modified>
</cp:coreProperties>
</file>