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DB9" w:rsidRDefault="00A437D6" w:rsidP="00A437D6">
      <w:pPr>
        <w:rPr>
          <w:rFonts w:ascii="Arial" w:hAnsi="Arial" w:cs="Arial"/>
          <w:sz w:val="18"/>
          <w:szCs w:val="18"/>
          <w:lang w:val="el-GR"/>
        </w:rPr>
      </w:pPr>
      <w:r>
        <w:rPr>
          <w:b/>
          <w:sz w:val="28"/>
          <w:szCs w:val="28"/>
          <w:lang w:val="el-GR"/>
        </w:rPr>
        <w:t xml:space="preserve"> </w:t>
      </w:r>
      <w:r w:rsidRPr="00A437D6">
        <w:rPr>
          <w:rFonts w:ascii="Arial" w:hAnsi="Arial" w:cs="Arial"/>
          <w:sz w:val="18"/>
          <w:szCs w:val="18"/>
          <w:lang w:val="el-GR"/>
        </w:rPr>
        <w:t xml:space="preserve">               </w:t>
      </w:r>
    </w:p>
    <w:tbl>
      <w:tblPr>
        <w:tblW w:w="9990" w:type="dxa"/>
        <w:tblInd w:w="-176" w:type="dxa"/>
        <w:tblLayout w:type="fixed"/>
        <w:tblLook w:val="04A0" w:firstRow="1" w:lastRow="0" w:firstColumn="1" w:lastColumn="0" w:noHBand="0" w:noVBand="1"/>
      </w:tblPr>
      <w:tblGrid>
        <w:gridCol w:w="3658"/>
        <w:gridCol w:w="844"/>
        <w:gridCol w:w="142"/>
        <w:gridCol w:w="92"/>
        <w:gridCol w:w="5254"/>
      </w:tblGrid>
      <w:tr w:rsidR="00BE1DB9" w:rsidRPr="00AD2657" w:rsidTr="008B256D">
        <w:trPr>
          <w:cantSplit/>
          <w:trHeight w:val="254"/>
        </w:trPr>
        <w:tc>
          <w:tcPr>
            <w:tcW w:w="4644" w:type="dxa"/>
            <w:gridSpan w:val="3"/>
            <w:hideMark/>
          </w:tcPr>
          <w:p w:rsidR="00BE1DB9" w:rsidRPr="008B256D" w:rsidRDefault="00BE1DB9">
            <w:pPr>
              <w:pStyle w:val="1"/>
              <w:rPr>
                <w:rFonts w:ascii="Verdana" w:eastAsiaTheme="minorEastAsia" w:hAnsi="Verdana"/>
                <w:sz w:val="20"/>
              </w:rPr>
            </w:pPr>
            <w:r w:rsidRPr="008B256D">
              <w:rPr>
                <w:rFonts w:ascii="Verdana" w:eastAsiaTheme="minorEastAsia" w:hAnsi="Verdana"/>
                <w:b/>
                <w:sz w:val="20"/>
              </w:rPr>
              <w:t xml:space="preserve"> </w:t>
            </w:r>
            <w:r w:rsidRPr="008B256D">
              <w:rPr>
                <w:rFonts w:ascii="Verdana" w:eastAsiaTheme="minorEastAsia" w:hAnsi="Verdana"/>
                <w:sz w:val="20"/>
              </w:rPr>
              <w:t xml:space="preserve">                         </w:t>
            </w:r>
            <w:r w:rsidRPr="008B256D">
              <w:rPr>
                <w:rFonts w:ascii="Verdana" w:eastAsiaTheme="minorEastAsia" w:hAnsi="Verdana"/>
                <w:noProof/>
                <w:sz w:val="20"/>
              </w:rPr>
              <w:drawing>
                <wp:inline distT="0" distB="0" distL="0" distR="0">
                  <wp:extent cx="638175" cy="6762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BE1DB9" w:rsidRPr="008B256D" w:rsidRDefault="00BE1DB9">
            <w:pPr>
              <w:jc w:val="center"/>
              <w:rPr>
                <w:rFonts w:ascii="Verdana" w:eastAsia="Times New Roman" w:hAnsi="Verdana"/>
                <w:b/>
                <w:sz w:val="20"/>
                <w:szCs w:val="20"/>
                <w:lang w:val="el-GR"/>
              </w:rPr>
            </w:pPr>
            <w:r w:rsidRPr="008B256D">
              <w:rPr>
                <w:rFonts w:ascii="Verdana" w:hAnsi="Verdana"/>
                <w:b/>
                <w:sz w:val="20"/>
                <w:szCs w:val="20"/>
                <w:lang w:val="el-GR"/>
              </w:rPr>
              <w:t>ΕΛΛΗΝΙΚΗ ΔΗΜΟΚΡΑΤΙΑ</w:t>
            </w:r>
          </w:p>
          <w:p w:rsidR="00BE1DB9" w:rsidRDefault="00BE1DB9">
            <w:pPr>
              <w:overflowPunct w:val="0"/>
              <w:autoSpaceDE w:val="0"/>
              <w:autoSpaceDN w:val="0"/>
              <w:adjustRightInd w:val="0"/>
              <w:jc w:val="center"/>
              <w:rPr>
                <w:rFonts w:ascii="Verdana" w:hAnsi="Verdana"/>
                <w:b/>
                <w:sz w:val="20"/>
                <w:szCs w:val="20"/>
                <w:lang w:val="el-GR"/>
              </w:rPr>
            </w:pPr>
            <w:r w:rsidRPr="008B256D">
              <w:rPr>
                <w:rFonts w:ascii="Verdana" w:hAnsi="Verdana"/>
                <w:b/>
                <w:sz w:val="20"/>
                <w:szCs w:val="20"/>
                <w:lang w:val="el-GR"/>
              </w:rPr>
              <w:t>ΔΗΜΟΣ ΜΟΣΧΑΤΟΥ-ΤΑΥΡΟΥ</w:t>
            </w:r>
          </w:p>
          <w:p w:rsidR="00FE5915" w:rsidRPr="008B256D" w:rsidRDefault="00FE5915">
            <w:pPr>
              <w:overflowPunct w:val="0"/>
              <w:autoSpaceDE w:val="0"/>
              <w:autoSpaceDN w:val="0"/>
              <w:adjustRightInd w:val="0"/>
              <w:jc w:val="center"/>
              <w:rPr>
                <w:rFonts w:ascii="Verdana" w:hAnsi="Verdana"/>
                <w:b/>
                <w:sz w:val="20"/>
                <w:szCs w:val="20"/>
                <w:lang w:val="el-GR" w:eastAsia="el-GR"/>
              </w:rPr>
            </w:pPr>
            <w:r>
              <w:rPr>
                <w:rFonts w:ascii="Verdana" w:hAnsi="Verdana"/>
                <w:b/>
                <w:sz w:val="20"/>
                <w:szCs w:val="20"/>
                <w:lang w:val="el-GR"/>
              </w:rPr>
              <w:t xml:space="preserve">ΓΡΑΦΕΙΟ ΔΗΜΑΡΧΟΥ </w:t>
            </w:r>
          </w:p>
        </w:tc>
        <w:tc>
          <w:tcPr>
            <w:tcW w:w="5346" w:type="dxa"/>
            <w:gridSpan w:val="2"/>
          </w:tcPr>
          <w:p w:rsidR="00BE1DB9" w:rsidRPr="008B256D" w:rsidRDefault="00BE1DB9">
            <w:pPr>
              <w:jc w:val="right"/>
              <w:rPr>
                <w:rFonts w:ascii="Verdana" w:eastAsia="Times New Roman" w:hAnsi="Verdana" w:cs="Times New Roman"/>
                <w:sz w:val="20"/>
                <w:szCs w:val="20"/>
                <w:lang w:val="el-GR" w:eastAsia="el-GR"/>
              </w:rPr>
            </w:pPr>
          </w:p>
          <w:p w:rsidR="00BE1DB9" w:rsidRPr="008B256D" w:rsidRDefault="00BE1DB9">
            <w:pPr>
              <w:jc w:val="right"/>
              <w:rPr>
                <w:rFonts w:ascii="Verdana" w:hAnsi="Verdana"/>
                <w:b/>
                <w:sz w:val="20"/>
                <w:szCs w:val="20"/>
                <w:lang w:val="el-GR"/>
              </w:rPr>
            </w:pPr>
          </w:p>
          <w:p w:rsidR="00BE1DB9" w:rsidRPr="008B256D" w:rsidRDefault="00BE1DB9">
            <w:pPr>
              <w:jc w:val="right"/>
              <w:rPr>
                <w:rFonts w:ascii="Verdana" w:hAnsi="Verdana"/>
                <w:b/>
                <w:sz w:val="20"/>
                <w:szCs w:val="20"/>
                <w:lang w:val="el-GR"/>
              </w:rPr>
            </w:pPr>
          </w:p>
          <w:p w:rsidR="00BE1DB9" w:rsidRPr="008B256D" w:rsidRDefault="00BE1DB9">
            <w:pPr>
              <w:jc w:val="right"/>
              <w:rPr>
                <w:rFonts w:ascii="Verdana" w:hAnsi="Verdana"/>
                <w:b/>
                <w:sz w:val="20"/>
                <w:szCs w:val="20"/>
                <w:lang w:val="el-GR"/>
              </w:rPr>
            </w:pPr>
          </w:p>
          <w:p w:rsidR="00BE1DB9" w:rsidRPr="008B256D" w:rsidRDefault="00BE1DB9">
            <w:pPr>
              <w:jc w:val="right"/>
              <w:rPr>
                <w:rFonts w:ascii="Verdana" w:hAnsi="Verdana"/>
                <w:b/>
                <w:sz w:val="20"/>
                <w:szCs w:val="20"/>
                <w:lang w:val="el-GR"/>
              </w:rPr>
            </w:pPr>
          </w:p>
          <w:p w:rsidR="00BE1DB9" w:rsidRPr="008B256D" w:rsidRDefault="00BE1DB9">
            <w:pPr>
              <w:overflowPunct w:val="0"/>
              <w:autoSpaceDE w:val="0"/>
              <w:autoSpaceDN w:val="0"/>
              <w:adjustRightInd w:val="0"/>
              <w:jc w:val="center"/>
              <w:rPr>
                <w:rFonts w:ascii="Verdana" w:hAnsi="Verdana"/>
                <w:sz w:val="20"/>
                <w:szCs w:val="20"/>
                <w:lang w:val="el-GR" w:eastAsia="el-GR"/>
              </w:rPr>
            </w:pPr>
            <w:r w:rsidRPr="008B256D">
              <w:rPr>
                <w:rFonts w:ascii="Verdana" w:hAnsi="Verdana"/>
                <w:sz w:val="20"/>
                <w:szCs w:val="20"/>
                <w:lang w:val="el-GR"/>
              </w:rPr>
              <w:t xml:space="preserve">                  </w:t>
            </w:r>
          </w:p>
        </w:tc>
      </w:tr>
      <w:tr w:rsidR="00BE1DB9" w:rsidRPr="00FE5915" w:rsidTr="00D15C38">
        <w:trPr>
          <w:trHeight w:val="80"/>
        </w:trPr>
        <w:tc>
          <w:tcPr>
            <w:tcW w:w="4502" w:type="dxa"/>
            <w:gridSpan w:val="2"/>
            <w:hideMark/>
          </w:tcPr>
          <w:tbl>
            <w:tblPr>
              <w:tblW w:w="5488" w:type="dxa"/>
              <w:tblLayout w:type="fixed"/>
              <w:tblLook w:val="04A0" w:firstRow="1" w:lastRow="0" w:firstColumn="1" w:lastColumn="0" w:noHBand="0" w:noVBand="1"/>
            </w:tblPr>
            <w:tblGrid>
              <w:gridCol w:w="266"/>
              <w:gridCol w:w="5222"/>
            </w:tblGrid>
            <w:tr w:rsidR="008B256D" w:rsidRPr="00FE5915" w:rsidTr="00FE5915">
              <w:trPr>
                <w:trHeight w:val="305"/>
              </w:trPr>
              <w:tc>
                <w:tcPr>
                  <w:tcW w:w="266" w:type="dxa"/>
                </w:tcPr>
                <w:p w:rsidR="008B256D" w:rsidRPr="00FE5915" w:rsidRDefault="008B256D">
                  <w:pPr>
                    <w:overflowPunct w:val="0"/>
                    <w:autoSpaceDE w:val="0"/>
                    <w:autoSpaceDN w:val="0"/>
                    <w:adjustRightInd w:val="0"/>
                    <w:rPr>
                      <w:rFonts w:ascii="Verdana" w:hAnsi="Verdana"/>
                      <w:b/>
                      <w:sz w:val="20"/>
                      <w:szCs w:val="20"/>
                      <w:lang w:val="el-GR" w:eastAsia="el-GR"/>
                    </w:rPr>
                  </w:pPr>
                </w:p>
              </w:tc>
              <w:tc>
                <w:tcPr>
                  <w:tcW w:w="5222" w:type="dxa"/>
                </w:tcPr>
                <w:p w:rsidR="008B256D" w:rsidRPr="00FE5915" w:rsidRDefault="00FE5915">
                  <w:pPr>
                    <w:pStyle w:val="4"/>
                    <w:rPr>
                      <w:rFonts w:ascii="Verdana" w:eastAsiaTheme="minorEastAsia" w:hAnsi="Verdana"/>
                      <w:b/>
                      <w:sz w:val="20"/>
                      <w:lang w:val="el-GR"/>
                    </w:rPr>
                  </w:pPr>
                  <w:r w:rsidRPr="00FE5915">
                    <w:rPr>
                      <w:rFonts w:ascii="Verdana" w:eastAsiaTheme="minorEastAsia" w:hAnsi="Verdana"/>
                      <w:b/>
                      <w:sz w:val="20"/>
                      <w:lang w:val="el-GR"/>
                    </w:rPr>
                    <w:t xml:space="preserve">Μοσχάτο 12 Οκτωβρίου 2020 </w:t>
                  </w:r>
                </w:p>
              </w:tc>
            </w:tr>
          </w:tbl>
          <w:p w:rsidR="00BE1DB9" w:rsidRPr="00FE5915" w:rsidRDefault="00BE1DB9">
            <w:pPr>
              <w:overflowPunct w:val="0"/>
              <w:autoSpaceDE w:val="0"/>
              <w:autoSpaceDN w:val="0"/>
              <w:adjustRightInd w:val="0"/>
              <w:rPr>
                <w:rFonts w:ascii="Verdana" w:hAnsi="Verdana"/>
                <w:b/>
                <w:sz w:val="20"/>
                <w:szCs w:val="20"/>
                <w:lang w:val="el-GR" w:eastAsia="el-GR"/>
              </w:rPr>
            </w:pPr>
          </w:p>
        </w:tc>
        <w:tc>
          <w:tcPr>
            <w:tcW w:w="234" w:type="dxa"/>
            <w:gridSpan w:val="2"/>
            <w:hideMark/>
          </w:tcPr>
          <w:p w:rsidR="00BE1DB9" w:rsidRPr="008B256D" w:rsidRDefault="00BE1DB9">
            <w:pPr>
              <w:overflowPunct w:val="0"/>
              <w:autoSpaceDE w:val="0"/>
              <w:autoSpaceDN w:val="0"/>
              <w:adjustRightInd w:val="0"/>
              <w:jc w:val="both"/>
              <w:rPr>
                <w:rFonts w:ascii="Verdana" w:hAnsi="Verdana"/>
                <w:spacing w:val="-12"/>
                <w:sz w:val="20"/>
                <w:szCs w:val="20"/>
                <w:lang w:val="el-GR" w:eastAsia="el-GR"/>
              </w:rPr>
            </w:pPr>
            <w:r w:rsidRPr="008B256D">
              <w:rPr>
                <w:rFonts w:ascii="Verdana" w:hAnsi="Verdana"/>
                <w:spacing w:val="-12"/>
                <w:sz w:val="20"/>
                <w:szCs w:val="20"/>
                <w:lang w:val="el-GR"/>
              </w:rPr>
              <w:t xml:space="preserve">                     </w:t>
            </w:r>
          </w:p>
        </w:tc>
        <w:tc>
          <w:tcPr>
            <w:tcW w:w="5254" w:type="dxa"/>
          </w:tcPr>
          <w:p w:rsidR="00BE1DB9" w:rsidRPr="008B256D" w:rsidRDefault="00BE1DB9">
            <w:pPr>
              <w:overflowPunct w:val="0"/>
              <w:autoSpaceDE w:val="0"/>
              <w:autoSpaceDN w:val="0"/>
              <w:adjustRightInd w:val="0"/>
              <w:rPr>
                <w:rFonts w:ascii="Verdana" w:hAnsi="Verdana"/>
                <w:sz w:val="20"/>
                <w:szCs w:val="20"/>
                <w:lang w:val="el-GR" w:eastAsia="el-GR"/>
              </w:rPr>
            </w:pPr>
          </w:p>
        </w:tc>
      </w:tr>
      <w:tr w:rsidR="00BE1DB9" w:rsidRPr="008B256D" w:rsidTr="008B256D">
        <w:trPr>
          <w:trHeight w:val="80"/>
        </w:trPr>
        <w:tc>
          <w:tcPr>
            <w:tcW w:w="3658" w:type="dxa"/>
            <w:hideMark/>
          </w:tcPr>
          <w:p w:rsidR="00BE1DB9" w:rsidRPr="00FE5915" w:rsidRDefault="00FE5915" w:rsidP="00FE5915">
            <w:pPr>
              <w:overflowPunct w:val="0"/>
              <w:autoSpaceDE w:val="0"/>
              <w:autoSpaceDN w:val="0"/>
              <w:adjustRightInd w:val="0"/>
              <w:rPr>
                <w:rFonts w:ascii="Verdana" w:hAnsi="Verdana"/>
                <w:b/>
                <w:sz w:val="20"/>
                <w:szCs w:val="20"/>
                <w:lang w:val="el-GR" w:eastAsia="el-GR"/>
              </w:rPr>
            </w:pPr>
            <w:r w:rsidRPr="00FE5915">
              <w:rPr>
                <w:rFonts w:ascii="Verdana" w:hAnsi="Verdana"/>
                <w:b/>
                <w:sz w:val="20"/>
                <w:szCs w:val="20"/>
                <w:lang w:val="el-GR"/>
              </w:rPr>
              <w:t xml:space="preserve">       </w:t>
            </w:r>
            <w:proofErr w:type="spellStart"/>
            <w:r w:rsidR="00BE1DB9" w:rsidRPr="00FE5915">
              <w:rPr>
                <w:rFonts w:ascii="Verdana" w:hAnsi="Verdana"/>
                <w:b/>
                <w:sz w:val="20"/>
                <w:szCs w:val="20"/>
              </w:rPr>
              <w:t>Αρ</w:t>
            </w:r>
            <w:proofErr w:type="spellEnd"/>
            <w:r w:rsidR="00BE1DB9" w:rsidRPr="00FE5915">
              <w:rPr>
                <w:rFonts w:ascii="Verdana" w:hAnsi="Verdana"/>
                <w:b/>
                <w:sz w:val="20"/>
                <w:szCs w:val="20"/>
              </w:rPr>
              <w:t>. Πρωτ. ΔΥ</w:t>
            </w:r>
            <w:r w:rsidRPr="00FE5915">
              <w:rPr>
                <w:rFonts w:ascii="Verdana" w:hAnsi="Verdana"/>
                <w:b/>
                <w:sz w:val="20"/>
                <w:szCs w:val="20"/>
                <w:lang w:val="el-GR"/>
              </w:rPr>
              <w:t xml:space="preserve"> </w:t>
            </w:r>
          </w:p>
        </w:tc>
        <w:tc>
          <w:tcPr>
            <w:tcW w:w="6331" w:type="dxa"/>
            <w:gridSpan w:val="4"/>
          </w:tcPr>
          <w:p w:rsidR="00BE1DB9" w:rsidRPr="008B256D" w:rsidRDefault="00BE1DB9">
            <w:pPr>
              <w:overflowPunct w:val="0"/>
              <w:autoSpaceDE w:val="0"/>
              <w:autoSpaceDN w:val="0"/>
              <w:adjustRightInd w:val="0"/>
              <w:jc w:val="both"/>
              <w:rPr>
                <w:rFonts w:ascii="Verdana" w:hAnsi="Verdana"/>
                <w:spacing w:val="-12"/>
                <w:sz w:val="20"/>
                <w:szCs w:val="20"/>
                <w:lang w:val="el-GR" w:eastAsia="el-GR"/>
              </w:rPr>
            </w:pPr>
          </w:p>
        </w:tc>
      </w:tr>
    </w:tbl>
    <w:p w:rsidR="00BE1DB9" w:rsidRPr="008B256D" w:rsidRDefault="00BE1DB9" w:rsidP="00BE1DB9">
      <w:pPr>
        <w:spacing w:line="360" w:lineRule="auto"/>
        <w:jc w:val="both"/>
        <w:rPr>
          <w:rFonts w:ascii="Verdana" w:hAnsi="Verdana"/>
          <w:b/>
          <w:sz w:val="20"/>
          <w:szCs w:val="20"/>
          <w:lang w:val="el-GR" w:eastAsia="el-GR"/>
        </w:rPr>
      </w:pPr>
    </w:p>
    <w:p w:rsidR="00BE1DB9" w:rsidRPr="008B256D" w:rsidRDefault="00BE1DB9" w:rsidP="00BE1DB9">
      <w:pPr>
        <w:spacing w:line="360" w:lineRule="auto"/>
        <w:jc w:val="both"/>
        <w:rPr>
          <w:rFonts w:ascii="Verdana" w:hAnsi="Verdana"/>
          <w:b/>
          <w:sz w:val="20"/>
          <w:szCs w:val="20"/>
          <w:lang w:val="el-GR"/>
        </w:rPr>
      </w:pPr>
      <w:r w:rsidRPr="008B256D">
        <w:rPr>
          <w:rFonts w:ascii="Verdana" w:hAnsi="Verdana"/>
          <w:b/>
          <w:sz w:val="20"/>
          <w:szCs w:val="20"/>
          <w:lang w:val="el-GR"/>
        </w:rPr>
        <w:t>Προς  τα  μέλη της Οικονομικής Επιτροπής του Δήμου Μοσχάτου-Ταύρου.</w:t>
      </w:r>
    </w:p>
    <w:p w:rsidR="008B256D" w:rsidRDefault="008B256D" w:rsidP="008B256D">
      <w:pPr>
        <w:pStyle w:val="32"/>
        <w:rPr>
          <w:rFonts w:ascii="Verdana" w:hAnsi="Verdana"/>
          <w:sz w:val="20"/>
        </w:rPr>
      </w:pPr>
      <w:r>
        <w:rPr>
          <w:rFonts w:ascii="Verdana" w:hAnsi="Verdana"/>
          <w:b/>
          <w:sz w:val="20"/>
        </w:rPr>
        <w:t>ΘΕΜA  :</w:t>
      </w:r>
      <w:r>
        <w:rPr>
          <w:rFonts w:ascii="Verdana" w:hAnsi="Verdana"/>
          <w:sz w:val="20"/>
        </w:rPr>
        <w:t xml:space="preserve"> Λήψη απόφασης για τη νομική υποστήριξη του κ. Π</w:t>
      </w:r>
      <w:r w:rsidR="00C228B2">
        <w:rPr>
          <w:rFonts w:ascii="Verdana" w:hAnsi="Verdana"/>
          <w:sz w:val="20"/>
        </w:rPr>
        <w:t>.</w:t>
      </w:r>
      <w:r>
        <w:rPr>
          <w:rFonts w:ascii="Verdana" w:hAnsi="Verdana"/>
          <w:sz w:val="20"/>
        </w:rPr>
        <w:t xml:space="preserve"> Κ</w:t>
      </w:r>
      <w:r w:rsidR="00C228B2">
        <w:rPr>
          <w:rFonts w:ascii="Verdana" w:hAnsi="Verdana"/>
          <w:sz w:val="20"/>
        </w:rPr>
        <w:t>.</w:t>
      </w:r>
      <w:r>
        <w:rPr>
          <w:rFonts w:ascii="Verdana" w:hAnsi="Verdana"/>
          <w:sz w:val="20"/>
        </w:rPr>
        <w:t>, του ∆</w:t>
      </w:r>
      <w:proofErr w:type="spellStart"/>
      <w:r>
        <w:rPr>
          <w:rFonts w:ascii="Verdana" w:hAnsi="Verdana"/>
          <w:sz w:val="20"/>
        </w:rPr>
        <w:t>ήμου</w:t>
      </w:r>
      <w:proofErr w:type="spellEnd"/>
      <w:r>
        <w:rPr>
          <w:rFonts w:ascii="Verdana" w:hAnsi="Verdana"/>
          <w:sz w:val="20"/>
        </w:rPr>
        <w:t xml:space="preserve"> Μοσχάτου –Ταύρου, από τους επί παγία αντιμισθία ∆</w:t>
      </w:r>
      <w:proofErr w:type="spellStart"/>
      <w:r>
        <w:rPr>
          <w:rFonts w:ascii="Verdana" w:hAnsi="Verdana"/>
          <w:sz w:val="20"/>
        </w:rPr>
        <w:t>ικηγόρους</w:t>
      </w:r>
      <w:proofErr w:type="spellEnd"/>
      <w:r>
        <w:rPr>
          <w:rFonts w:ascii="Verdana" w:hAnsi="Verdana"/>
          <w:sz w:val="20"/>
        </w:rPr>
        <w:t xml:space="preserve"> του ∆</w:t>
      </w:r>
      <w:proofErr w:type="spellStart"/>
      <w:r>
        <w:rPr>
          <w:rFonts w:ascii="Verdana" w:hAnsi="Verdana"/>
          <w:sz w:val="20"/>
        </w:rPr>
        <w:t>ήμου</w:t>
      </w:r>
      <w:proofErr w:type="spellEnd"/>
      <w:r>
        <w:rPr>
          <w:rFonts w:ascii="Verdana" w:hAnsi="Verdana"/>
          <w:sz w:val="20"/>
        </w:rPr>
        <w:t xml:space="preserve"> Μοσχάτου –Ταύρου</w:t>
      </w:r>
      <w:r w:rsidR="00886C5C">
        <w:rPr>
          <w:rFonts w:ascii="Verdana" w:hAnsi="Verdana"/>
          <w:sz w:val="20"/>
        </w:rPr>
        <w:t>.</w:t>
      </w:r>
      <w:r>
        <w:rPr>
          <w:rFonts w:ascii="Verdana" w:hAnsi="Verdana"/>
          <w:sz w:val="20"/>
        </w:rPr>
        <w:t xml:space="preserve"> </w:t>
      </w:r>
    </w:p>
    <w:p w:rsidR="008B256D" w:rsidRDefault="008B256D" w:rsidP="008B256D">
      <w:pPr>
        <w:pStyle w:val="32"/>
        <w:rPr>
          <w:rFonts w:ascii="Verdana" w:hAnsi="Verdana"/>
          <w:sz w:val="20"/>
        </w:rPr>
      </w:pPr>
    </w:p>
    <w:p w:rsidR="008B256D" w:rsidRPr="008B256D" w:rsidRDefault="008B256D" w:rsidP="008B256D">
      <w:pPr>
        <w:pStyle w:val="32"/>
        <w:rPr>
          <w:rFonts w:ascii="Times New Roman" w:hAnsi="Times New Roman"/>
          <w:b/>
          <w:sz w:val="28"/>
          <w:szCs w:val="28"/>
        </w:rPr>
      </w:pPr>
      <w:r w:rsidRPr="008B256D">
        <w:rPr>
          <w:rFonts w:ascii="Verdana" w:hAnsi="Verdana"/>
          <w:b/>
          <w:sz w:val="20"/>
        </w:rPr>
        <w:t>ΣΧΕΤ.:</w:t>
      </w:r>
      <w:r>
        <w:rPr>
          <w:rFonts w:ascii="Verdana" w:hAnsi="Verdana"/>
          <w:sz w:val="20"/>
        </w:rPr>
        <w:t xml:space="preserve"> 1) η με  αρ. </w:t>
      </w:r>
      <w:proofErr w:type="spellStart"/>
      <w:r>
        <w:rPr>
          <w:rFonts w:ascii="Verdana" w:hAnsi="Verdana"/>
          <w:sz w:val="20"/>
        </w:rPr>
        <w:t>πρωτ</w:t>
      </w:r>
      <w:proofErr w:type="spellEnd"/>
      <w:r>
        <w:rPr>
          <w:rFonts w:ascii="Verdana" w:hAnsi="Verdana"/>
          <w:sz w:val="20"/>
        </w:rPr>
        <w:t>.  16720/8.10.2020 αίτηση του κ.  Π</w:t>
      </w:r>
      <w:r w:rsidR="00C228B2">
        <w:rPr>
          <w:rFonts w:ascii="Verdana" w:hAnsi="Verdana"/>
          <w:sz w:val="20"/>
        </w:rPr>
        <w:t>.</w:t>
      </w:r>
      <w:r>
        <w:rPr>
          <w:rFonts w:ascii="Verdana" w:hAnsi="Verdana"/>
          <w:sz w:val="20"/>
        </w:rPr>
        <w:t xml:space="preserve"> Κ</w:t>
      </w:r>
      <w:r w:rsidR="00C228B2">
        <w:rPr>
          <w:rFonts w:ascii="Verdana" w:hAnsi="Verdana"/>
          <w:sz w:val="20"/>
        </w:rPr>
        <w:t>.</w:t>
      </w:r>
      <w:r w:rsidR="00FE5915">
        <w:rPr>
          <w:rFonts w:ascii="Verdana" w:hAnsi="Verdana"/>
          <w:sz w:val="20"/>
        </w:rPr>
        <w:t>, του Δήμου Μοσχάτου – Ταύρου</w:t>
      </w:r>
      <w:r>
        <w:rPr>
          <w:rFonts w:ascii="Verdana" w:hAnsi="Verdana"/>
          <w:sz w:val="20"/>
        </w:rPr>
        <w:t xml:space="preserve"> και 2) η από 30.9.2020 με αρ. </w:t>
      </w:r>
      <w:proofErr w:type="spellStart"/>
      <w:r>
        <w:rPr>
          <w:rFonts w:ascii="Verdana" w:hAnsi="Verdana"/>
          <w:sz w:val="20"/>
        </w:rPr>
        <w:t>πρωτ</w:t>
      </w:r>
      <w:proofErr w:type="spellEnd"/>
      <w:r>
        <w:rPr>
          <w:rFonts w:ascii="Verdana" w:hAnsi="Verdana"/>
          <w:sz w:val="20"/>
        </w:rPr>
        <w:t xml:space="preserve">. 3021/8/3937-β’ κλήση παροχής εξηγήσεων </w:t>
      </w:r>
      <w:r w:rsidR="00FE5915">
        <w:rPr>
          <w:rFonts w:ascii="Verdana" w:hAnsi="Verdana"/>
          <w:sz w:val="20"/>
        </w:rPr>
        <w:t xml:space="preserve">του κ. </w:t>
      </w:r>
      <w:r>
        <w:rPr>
          <w:rFonts w:ascii="Verdana" w:hAnsi="Verdana"/>
          <w:sz w:val="20"/>
        </w:rPr>
        <w:t>Π</w:t>
      </w:r>
      <w:r w:rsidR="00C228B2">
        <w:rPr>
          <w:rFonts w:ascii="Verdana" w:hAnsi="Verdana"/>
          <w:sz w:val="20"/>
        </w:rPr>
        <w:t>.</w:t>
      </w:r>
      <w:r>
        <w:rPr>
          <w:rFonts w:ascii="Verdana" w:hAnsi="Verdana"/>
          <w:sz w:val="20"/>
        </w:rPr>
        <w:t xml:space="preserve"> Κ</w:t>
      </w:r>
      <w:r w:rsidR="00C228B2">
        <w:rPr>
          <w:rFonts w:ascii="Verdana" w:hAnsi="Verdana"/>
          <w:sz w:val="20"/>
        </w:rPr>
        <w:t>.</w:t>
      </w:r>
      <w:r>
        <w:rPr>
          <w:rFonts w:ascii="Verdana" w:hAnsi="Verdana"/>
          <w:sz w:val="20"/>
        </w:rPr>
        <w:t xml:space="preserve"> στο πλαίσιο διενεργούμενης προκαταρκτικής εξέτασης</w:t>
      </w:r>
      <w:r w:rsidR="00FE5915">
        <w:rPr>
          <w:rFonts w:ascii="Verdana" w:hAnsi="Verdana"/>
          <w:sz w:val="20"/>
        </w:rPr>
        <w:t xml:space="preserve"> από τον κ. Εισαγγελέα Πλημμελειοδικών Αθηνών διά </w:t>
      </w:r>
      <w:r>
        <w:rPr>
          <w:rFonts w:ascii="Verdana" w:hAnsi="Verdana"/>
          <w:sz w:val="20"/>
        </w:rPr>
        <w:t xml:space="preserve"> του Α.Τ Μοσχάτου</w:t>
      </w:r>
      <w:r w:rsidR="00C228B2">
        <w:rPr>
          <w:rFonts w:ascii="Verdana" w:hAnsi="Verdana"/>
          <w:sz w:val="20"/>
        </w:rPr>
        <w:t>- Ταύρου</w:t>
      </w:r>
      <w:r w:rsidR="00667F71">
        <w:rPr>
          <w:rFonts w:ascii="Verdana" w:hAnsi="Verdana"/>
          <w:sz w:val="20"/>
        </w:rPr>
        <w:t>.</w:t>
      </w:r>
      <w:r>
        <w:rPr>
          <w:rFonts w:ascii="Verdana" w:hAnsi="Verdana"/>
          <w:sz w:val="20"/>
        </w:rPr>
        <w:t xml:space="preserve">  </w:t>
      </w:r>
    </w:p>
    <w:p w:rsidR="00BE1DB9" w:rsidRPr="008B256D" w:rsidRDefault="00BE1DB9" w:rsidP="008B256D">
      <w:pPr>
        <w:spacing w:line="360" w:lineRule="auto"/>
        <w:ind w:firstLine="720"/>
        <w:jc w:val="both"/>
        <w:rPr>
          <w:rFonts w:ascii="Verdana" w:hAnsi="Verdana"/>
          <w:sz w:val="28"/>
          <w:szCs w:val="28"/>
          <w:lang w:val="el-GR"/>
        </w:rPr>
      </w:pPr>
      <w:r w:rsidRPr="008B256D">
        <w:rPr>
          <w:rFonts w:ascii="Verdana" w:hAnsi="Verdana"/>
          <w:sz w:val="28"/>
          <w:szCs w:val="28"/>
          <w:lang w:val="el-GR"/>
        </w:rPr>
        <w:t xml:space="preserve"> </w:t>
      </w:r>
    </w:p>
    <w:p w:rsidR="00A437D6" w:rsidRPr="008B256D" w:rsidRDefault="00A437D6" w:rsidP="00A437D6">
      <w:pPr>
        <w:rPr>
          <w:rFonts w:ascii="Verdana" w:hAnsi="Verdana" w:cs="Arial"/>
          <w:b/>
          <w:sz w:val="20"/>
          <w:lang w:val="el-GR"/>
        </w:rPr>
      </w:pPr>
      <w:r w:rsidRPr="008B256D">
        <w:rPr>
          <w:rFonts w:ascii="Verdana" w:hAnsi="Verdana" w:cs="Arial"/>
          <w:sz w:val="18"/>
          <w:szCs w:val="18"/>
          <w:lang w:val="el-GR"/>
        </w:rPr>
        <w:t xml:space="preserve">                                                          </w:t>
      </w:r>
      <w:r w:rsidRPr="008B256D">
        <w:rPr>
          <w:rFonts w:ascii="Verdana" w:hAnsi="Verdana" w:cs="Arial"/>
          <w:b/>
          <w:sz w:val="20"/>
          <w:lang w:val="el-GR"/>
        </w:rPr>
        <w:t xml:space="preserve">ΕΙΣΗΓΗΣΗ </w:t>
      </w:r>
    </w:p>
    <w:p w:rsidR="00A437D6" w:rsidRPr="008B256D" w:rsidRDefault="00A437D6" w:rsidP="00A437D6">
      <w:pPr>
        <w:rPr>
          <w:rFonts w:ascii="Verdana" w:hAnsi="Verdana" w:cs="Arial"/>
          <w:sz w:val="18"/>
          <w:szCs w:val="18"/>
          <w:lang w:val="el-GR"/>
        </w:rPr>
      </w:pPr>
    </w:p>
    <w:p w:rsidR="00A437D6" w:rsidRDefault="00A437D6" w:rsidP="00A437D6">
      <w:pPr>
        <w:pStyle w:val="31"/>
        <w:rPr>
          <w:rFonts w:ascii="Verdana" w:hAnsi="Verdana" w:cs="Times New Roman"/>
          <w:sz w:val="20"/>
          <w:szCs w:val="20"/>
        </w:rPr>
      </w:pPr>
      <w:r w:rsidRPr="008B256D">
        <w:rPr>
          <w:rFonts w:ascii="Verdana" w:hAnsi="Verdana"/>
          <w:sz w:val="20"/>
        </w:rPr>
        <w:t xml:space="preserve">    </w:t>
      </w:r>
      <w:r w:rsidRPr="008B256D">
        <w:rPr>
          <w:rFonts w:ascii="Verdana" w:hAnsi="Verdana"/>
          <w:b/>
          <w:sz w:val="20"/>
        </w:rPr>
        <w:t>1. α.</w:t>
      </w:r>
      <w:r w:rsidRPr="008B256D">
        <w:rPr>
          <w:rFonts w:ascii="Verdana" w:hAnsi="Verdana"/>
          <w:sz w:val="20"/>
        </w:rPr>
        <w:t xml:space="preserve"> Στο άρθρο 244</w:t>
      </w:r>
      <w:r w:rsidRPr="008B256D">
        <w:rPr>
          <w:rFonts w:ascii="Verdana" w:hAnsi="Verdana"/>
          <w:sz w:val="20"/>
          <w:vertAlign w:val="superscript"/>
        </w:rPr>
        <w:t>Α</w:t>
      </w:r>
      <w:r w:rsidRPr="008B256D">
        <w:rPr>
          <w:rFonts w:ascii="Verdana" w:hAnsi="Verdana"/>
          <w:sz w:val="20"/>
        </w:rPr>
        <w:t xml:space="preserve"> παρ. 6 του Ν. 3852/2010 «Νέα Αρχιτεκτονική της Αυτοδιοίκησης και της Αποκεντρωμένης ∆</w:t>
      </w:r>
      <w:proofErr w:type="spellStart"/>
      <w:r w:rsidRPr="008B256D">
        <w:rPr>
          <w:rFonts w:ascii="Verdana" w:hAnsi="Verdana"/>
          <w:sz w:val="20"/>
        </w:rPr>
        <w:t>ιοίκησης</w:t>
      </w:r>
      <w:proofErr w:type="spellEnd"/>
      <w:r w:rsidRPr="008B256D">
        <w:rPr>
          <w:rFonts w:ascii="Verdana" w:hAnsi="Verdana"/>
          <w:sz w:val="20"/>
        </w:rPr>
        <w:t xml:space="preserve"> – Πρόγραμμα Καλλικράτης» (ΦΕΚ Α ́/87/7.6.10), όπως η παράγραφος αυτή προστέθηκε με το άρθρο 218 του ν 4555/2018 (ΦΕΚ 133Α/19-7-2018) και όπως αυτή ισχύει ορίζονται τα εξής : «Άρθρο 244Α Προσωπικό Περιφερειών-Έμμισθοι ∆</w:t>
      </w:r>
      <w:proofErr w:type="spellStart"/>
      <w:r w:rsidRPr="008B256D">
        <w:rPr>
          <w:rFonts w:ascii="Verdana" w:hAnsi="Verdana"/>
          <w:sz w:val="20"/>
        </w:rPr>
        <w:t>ικηγόροι</w:t>
      </w:r>
      <w:proofErr w:type="spellEnd"/>
      <w:r w:rsidRPr="008B256D">
        <w:rPr>
          <w:rFonts w:ascii="Verdana" w:hAnsi="Verdana"/>
          <w:sz w:val="20"/>
        </w:rPr>
        <w:t xml:space="preserve"> 1. ... 6. Οι Ο.Τ.Α. α' και β' βαθμού και τα νομικά πρόσωπα αυτών υποχρεούνται να παρέχουν νομική υποστήριξη στους υπαλλήλους που υπηρετούν σε</w:t>
      </w:r>
      <w:r>
        <w:rPr>
          <w:rFonts w:ascii="Verdana" w:hAnsi="Verdana"/>
          <w:sz w:val="20"/>
        </w:rPr>
        <w:t xml:space="preserve"> αυτούς, ενώπιον των ∆</w:t>
      </w:r>
      <w:proofErr w:type="spellStart"/>
      <w:r>
        <w:rPr>
          <w:rFonts w:ascii="Verdana" w:hAnsi="Verdana"/>
          <w:sz w:val="20"/>
        </w:rPr>
        <w:t>ικαστηρίων</w:t>
      </w:r>
      <w:proofErr w:type="spellEnd"/>
      <w:r>
        <w:rPr>
          <w:rFonts w:ascii="Verdana" w:hAnsi="Verdana"/>
          <w:sz w:val="20"/>
        </w:rPr>
        <w:t xml:space="preserve"> ή των ∆</w:t>
      </w:r>
      <w:proofErr w:type="spellStart"/>
      <w:r>
        <w:rPr>
          <w:rFonts w:ascii="Verdana" w:hAnsi="Verdana"/>
          <w:sz w:val="20"/>
        </w:rPr>
        <w:t>ικαστικών</w:t>
      </w:r>
      <w:proofErr w:type="spellEnd"/>
      <w:r>
        <w:rPr>
          <w:rFonts w:ascii="Verdana" w:hAnsi="Verdana"/>
          <w:sz w:val="20"/>
        </w:rPr>
        <w:t xml:space="preserve"> Αρχών, σε περίπτωση διενέργειας προκαταρκτικής εξέτασης ή άσκησης ποινικής δίωξης αυτών για αδικήματα που τους αποδίδεται ότι διέπραξαν κατά την ενάσκηση των καθηκόντων τους. Η ανωτέρω νομική υποστήριξη δεν παρέχεται σε περίπτωση ποινικής δίωξης αυτών ύστερα από καταγγελία εκ μέρους της Υπηρεσίας. Η νομική εκπροσώπησή τους συντελείται από δικηγόρο του δήμου ή της περιφέρειας, ύστερα από αίτηση του υπαλλήλο</w:t>
      </w:r>
      <w:r w:rsidR="00C228B2">
        <w:rPr>
          <w:rFonts w:ascii="Verdana" w:hAnsi="Verdana"/>
          <w:sz w:val="20"/>
        </w:rPr>
        <w:t xml:space="preserve">υ προς τον οικείο δήμαρχο ή </w:t>
      </w:r>
      <w:r>
        <w:rPr>
          <w:rFonts w:ascii="Verdana" w:hAnsi="Verdana"/>
          <w:sz w:val="20"/>
        </w:rPr>
        <w:t>περιφερειάρχη, θετική εισήγηση της Υπηρεσίας και απόφαση της οικονομικής επιτροπής. Αν δεν υπηρετεί δικηγόρος με πάγια έμμισθη εντολή, η εκπροσώπηση γίνεται από πληρεξούσιο δικηγόρο που προσλαμβάνεται σύμφωνα με την περίπτωση ιε' της παραγράφου 1 του άρθρου 72 και σύμφωνα με την περίπτωση ιγ' της παραγράφου 1 του άρθρου 176, αντιστοίχως. Οι ανωτέρω διατάξεις εφαρμόζονται και για τους αιρετούς των δήμων και των περιφερειών.».</w:t>
      </w:r>
    </w:p>
    <w:p w:rsidR="00A437D6" w:rsidRDefault="00A437D6" w:rsidP="00A437D6">
      <w:pPr>
        <w:pStyle w:val="31"/>
        <w:rPr>
          <w:rFonts w:ascii="Verdana" w:hAnsi="Verdana"/>
          <w:sz w:val="20"/>
        </w:rPr>
      </w:pPr>
    </w:p>
    <w:p w:rsidR="00A437D6" w:rsidRDefault="00A437D6" w:rsidP="00A437D6">
      <w:pPr>
        <w:pStyle w:val="31"/>
        <w:rPr>
          <w:rFonts w:ascii="Verdana" w:hAnsi="Verdana"/>
          <w:sz w:val="20"/>
        </w:rPr>
      </w:pPr>
    </w:p>
    <w:p w:rsidR="00A437D6" w:rsidRDefault="00A437D6" w:rsidP="00A437D6">
      <w:pPr>
        <w:pStyle w:val="31"/>
        <w:rPr>
          <w:rFonts w:ascii="Verdana" w:hAnsi="Verdana" w:cs="Arial"/>
          <w:sz w:val="20"/>
        </w:rPr>
      </w:pPr>
      <w:r>
        <w:rPr>
          <w:rFonts w:ascii="Verdana" w:hAnsi="Verdana" w:cs="Arial"/>
          <w:sz w:val="20"/>
        </w:rPr>
        <w:t xml:space="preserve">    </w:t>
      </w:r>
      <w:r>
        <w:rPr>
          <w:rFonts w:ascii="Verdana" w:hAnsi="Verdana" w:cs="Arial"/>
          <w:b/>
          <w:sz w:val="20"/>
        </w:rPr>
        <w:t>β.</w:t>
      </w:r>
      <w:r>
        <w:rPr>
          <w:rFonts w:ascii="Verdana" w:hAnsi="Verdana" w:cs="Arial"/>
          <w:sz w:val="20"/>
        </w:rPr>
        <w:t xml:space="preserve"> Από </w:t>
      </w:r>
      <w:r>
        <w:rPr>
          <w:rFonts w:ascii="Verdana" w:hAnsi="Verdana"/>
          <w:sz w:val="20"/>
        </w:rPr>
        <w:t>τη</w:t>
      </w:r>
      <w:r w:rsidR="003F76AB">
        <w:rPr>
          <w:rFonts w:ascii="Verdana" w:hAnsi="Verdana"/>
          <w:sz w:val="20"/>
        </w:rPr>
        <w:t>ν</w:t>
      </w:r>
      <w:r>
        <w:rPr>
          <w:rFonts w:ascii="Verdana" w:hAnsi="Verdana"/>
          <w:sz w:val="20"/>
        </w:rPr>
        <w:t xml:space="preserve"> από 30.9.2020 με αρ. </w:t>
      </w:r>
      <w:proofErr w:type="spellStart"/>
      <w:r>
        <w:rPr>
          <w:rFonts w:ascii="Verdana" w:hAnsi="Verdana"/>
          <w:sz w:val="20"/>
        </w:rPr>
        <w:t>πρωτ</w:t>
      </w:r>
      <w:proofErr w:type="spellEnd"/>
      <w:r>
        <w:rPr>
          <w:rFonts w:ascii="Verdana" w:hAnsi="Verdana"/>
          <w:sz w:val="20"/>
        </w:rPr>
        <w:t>. 3021/8/3937-β’ κλήση παροχής εξηγήσεων στο πλαίσιο διενεργούμενης προκαταρκτικής εξέτασης του Α.Τ Μοσχάτου</w:t>
      </w:r>
      <w:r w:rsidR="008231DE">
        <w:rPr>
          <w:rFonts w:ascii="Verdana" w:hAnsi="Verdana"/>
          <w:sz w:val="20"/>
        </w:rPr>
        <w:t xml:space="preserve"> (</w:t>
      </w:r>
      <w:proofErr w:type="spellStart"/>
      <w:r w:rsidR="008231DE">
        <w:rPr>
          <w:rFonts w:ascii="Verdana" w:hAnsi="Verdana"/>
          <w:sz w:val="20"/>
        </w:rPr>
        <w:t>σχετ</w:t>
      </w:r>
      <w:proofErr w:type="spellEnd"/>
      <w:r w:rsidR="008231DE">
        <w:rPr>
          <w:rFonts w:ascii="Verdana" w:hAnsi="Verdana"/>
          <w:sz w:val="20"/>
        </w:rPr>
        <w:t>. 1.</w:t>
      </w:r>
      <w:r w:rsidR="003F76AB">
        <w:rPr>
          <w:rFonts w:ascii="Verdana" w:hAnsi="Verdana"/>
          <w:sz w:val="20"/>
        </w:rPr>
        <w:t xml:space="preserve">) </w:t>
      </w:r>
      <w:r>
        <w:rPr>
          <w:rFonts w:ascii="Verdana" w:hAnsi="Verdana"/>
          <w:sz w:val="20"/>
        </w:rPr>
        <w:t>,σε συνδυασμό με τα υπόλοιπα έγγραφα της δι</w:t>
      </w:r>
      <w:r w:rsidR="00DA45E3">
        <w:rPr>
          <w:rFonts w:ascii="Verdana" w:hAnsi="Verdana"/>
          <w:sz w:val="20"/>
        </w:rPr>
        <w:t>κογραφίας ,που μου επιδείχθηκαν</w:t>
      </w:r>
      <w:bookmarkStart w:id="0" w:name="_GoBack"/>
      <w:bookmarkEnd w:id="0"/>
      <w:r>
        <w:rPr>
          <w:rFonts w:ascii="Verdana" w:hAnsi="Verdana"/>
          <w:sz w:val="20"/>
        </w:rPr>
        <w:t>,</w:t>
      </w:r>
      <w:r>
        <w:rPr>
          <w:rFonts w:ascii="Verdana" w:hAnsi="Verdana" w:cs="Arial"/>
          <w:sz w:val="20"/>
        </w:rPr>
        <w:t xml:space="preserve"> προκύπτει ότ</w:t>
      </w:r>
      <w:r w:rsidR="00DA45E3">
        <w:rPr>
          <w:rFonts w:ascii="Verdana" w:hAnsi="Verdana" w:cs="Arial"/>
          <w:sz w:val="20"/>
        </w:rPr>
        <w:t xml:space="preserve">ι διενεργείται σε βάρος του </w:t>
      </w:r>
      <w:proofErr w:type="spellStart"/>
      <w:r w:rsidR="00DA45E3">
        <w:rPr>
          <w:rFonts w:ascii="Verdana" w:hAnsi="Verdana" w:cs="Arial"/>
          <w:sz w:val="20"/>
        </w:rPr>
        <w:t>κ.</w:t>
      </w:r>
      <w:r>
        <w:rPr>
          <w:rFonts w:ascii="Verdana" w:hAnsi="Verdana" w:cs="Arial"/>
          <w:sz w:val="20"/>
        </w:rPr>
        <w:t>Π</w:t>
      </w:r>
      <w:r w:rsidR="00C228B2">
        <w:rPr>
          <w:rFonts w:ascii="Verdana" w:hAnsi="Verdana" w:cs="Arial"/>
          <w:sz w:val="20"/>
        </w:rPr>
        <w:t>.</w:t>
      </w:r>
      <w:r>
        <w:rPr>
          <w:rFonts w:ascii="Verdana" w:hAnsi="Verdana" w:cs="Arial"/>
          <w:sz w:val="20"/>
        </w:rPr>
        <w:t>Κ</w:t>
      </w:r>
      <w:proofErr w:type="spellEnd"/>
      <w:r w:rsidR="00C228B2">
        <w:rPr>
          <w:rFonts w:ascii="Verdana" w:hAnsi="Verdana" w:cs="Arial"/>
          <w:sz w:val="20"/>
        </w:rPr>
        <w:t>.</w:t>
      </w:r>
      <w:r>
        <w:rPr>
          <w:rFonts w:ascii="Verdana" w:hAnsi="Verdana" w:cs="Arial"/>
          <w:sz w:val="20"/>
        </w:rPr>
        <w:t xml:space="preserve"> προκαταρκτική εξέταση από τον κ. Εισαγγελέα Πλημμελειοδικών Αθηνών διά του Α.Τ Μοσχάτου – Ταύρου (σχηματισθείσα δικογραφία με ΑΒΜ Ε 2020/1963 ) σχετικά με αδικήματα που του αποδίδονται ότι διέπραξε κατά την ενάσκηση τω</w:t>
      </w:r>
      <w:r w:rsidR="00AD2657">
        <w:rPr>
          <w:rFonts w:ascii="Verdana" w:hAnsi="Verdana" w:cs="Arial"/>
          <w:sz w:val="20"/>
        </w:rPr>
        <w:t xml:space="preserve">ν καθηκόντων του και δη διά δημοσιεύσεων </w:t>
      </w:r>
      <w:r>
        <w:rPr>
          <w:rFonts w:ascii="Verdana" w:hAnsi="Verdana" w:cs="Arial"/>
          <w:sz w:val="20"/>
        </w:rPr>
        <w:t xml:space="preserve">του στο μέσο κοινωνικής δικτύωσης </w:t>
      </w:r>
      <w:proofErr w:type="spellStart"/>
      <w:r>
        <w:rPr>
          <w:rFonts w:ascii="Verdana" w:hAnsi="Verdana" w:cs="Arial"/>
          <w:sz w:val="20"/>
          <w:lang w:val="en-US"/>
        </w:rPr>
        <w:t>facebook</w:t>
      </w:r>
      <w:proofErr w:type="spellEnd"/>
      <w:r>
        <w:rPr>
          <w:rFonts w:ascii="Verdana" w:hAnsi="Verdana" w:cs="Arial"/>
          <w:sz w:val="20"/>
        </w:rPr>
        <w:t xml:space="preserve"> σχετικά με φερόμενη αυθαίρ</w:t>
      </w:r>
      <w:r w:rsidR="00AD2657">
        <w:rPr>
          <w:rFonts w:ascii="Verdana" w:hAnsi="Verdana" w:cs="Arial"/>
          <w:sz w:val="20"/>
        </w:rPr>
        <w:t>ετη κατάληψη κοινόχρηστων χώρων</w:t>
      </w:r>
      <w:r>
        <w:rPr>
          <w:rFonts w:ascii="Verdana" w:hAnsi="Verdana" w:cs="Arial"/>
          <w:sz w:val="20"/>
        </w:rPr>
        <w:t>,</w:t>
      </w:r>
      <w:r w:rsidR="00AD2657">
        <w:rPr>
          <w:rFonts w:ascii="Verdana" w:hAnsi="Verdana" w:cs="Arial"/>
          <w:sz w:val="20"/>
        </w:rPr>
        <w:t xml:space="preserve"> </w:t>
      </w:r>
      <w:r>
        <w:rPr>
          <w:rFonts w:ascii="Verdana" w:hAnsi="Verdana" w:cs="Arial"/>
          <w:sz w:val="20"/>
        </w:rPr>
        <w:t>οι οποίες (δημοσιεύσεις ) κατά τα διαλαμβανόμενα στην έγκληση του Σ</w:t>
      </w:r>
      <w:r w:rsidR="00C228B2">
        <w:rPr>
          <w:rFonts w:ascii="Verdana" w:hAnsi="Verdana" w:cs="Arial"/>
          <w:sz w:val="20"/>
        </w:rPr>
        <w:t>.</w:t>
      </w:r>
      <w:r>
        <w:rPr>
          <w:rFonts w:ascii="Verdana" w:hAnsi="Verdana" w:cs="Arial"/>
          <w:sz w:val="20"/>
        </w:rPr>
        <w:t xml:space="preserve"> Κ</w:t>
      </w:r>
      <w:r w:rsidR="00C228B2">
        <w:rPr>
          <w:rFonts w:ascii="Verdana" w:hAnsi="Verdana" w:cs="Arial"/>
          <w:sz w:val="20"/>
        </w:rPr>
        <w:t>.</w:t>
      </w:r>
      <w:r>
        <w:rPr>
          <w:rFonts w:ascii="Verdana" w:hAnsi="Verdana" w:cs="Arial"/>
          <w:sz w:val="20"/>
        </w:rPr>
        <w:t xml:space="preserve"> φέρεται ότι στοιχειοθετούν τις αξιόποινες πράξεις των άρθρων 361 </w:t>
      </w:r>
      <w:r w:rsidR="00AD2657">
        <w:rPr>
          <w:rFonts w:ascii="Verdana" w:hAnsi="Verdana" w:cs="Arial"/>
          <w:sz w:val="20"/>
        </w:rPr>
        <w:t>και 362-363 του Ποινικού Κώδικα</w:t>
      </w:r>
      <w:r>
        <w:rPr>
          <w:rFonts w:ascii="Verdana" w:hAnsi="Verdana" w:cs="Arial"/>
          <w:sz w:val="20"/>
        </w:rPr>
        <w:t>, καθώς και της παραβίασης της νομοθεσίας  (ν.2472/1997 και άρθρ. 15 παρ. 3 του ν. 2472/2006 ) για την προστασία των προσωπικών δεδομένω</w:t>
      </w:r>
      <w:r w:rsidR="00AD2657">
        <w:rPr>
          <w:rFonts w:ascii="Verdana" w:hAnsi="Verdana" w:cs="Arial"/>
          <w:sz w:val="20"/>
        </w:rPr>
        <w:t xml:space="preserve">ν σε βάρος του </w:t>
      </w:r>
      <w:proofErr w:type="spellStart"/>
      <w:r w:rsidR="00AD2657">
        <w:rPr>
          <w:rFonts w:ascii="Verdana" w:hAnsi="Verdana" w:cs="Arial"/>
          <w:sz w:val="20"/>
        </w:rPr>
        <w:t>εγκαλούντος</w:t>
      </w:r>
      <w:proofErr w:type="spellEnd"/>
      <w:r>
        <w:rPr>
          <w:rFonts w:ascii="Verdana" w:hAnsi="Verdana" w:cs="Arial"/>
          <w:sz w:val="20"/>
        </w:rPr>
        <w:t xml:space="preserve">.  </w:t>
      </w:r>
    </w:p>
    <w:p w:rsidR="00A437D6" w:rsidRDefault="00A437D6" w:rsidP="00A437D6">
      <w:pPr>
        <w:pStyle w:val="31"/>
        <w:rPr>
          <w:rFonts w:ascii="Verdana" w:hAnsi="Verdana" w:cs="Times New Roman"/>
          <w:sz w:val="20"/>
        </w:rPr>
      </w:pPr>
    </w:p>
    <w:p w:rsidR="00A437D6" w:rsidRDefault="00A437D6" w:rsidP="00A437D6">
      <w:pPr>
        <w:pStyle w:val="a4"/>
        <w:ind w:left="0"/>
        <w:rPr>
          <w:rFonts w:ascii="Verdana" w:hAnsi="Verdana"/>
          <w:bCs w:val="0"/>
          <w:sz w:val="20"/>
        </w:rPr>
      </w:pPr>
      <w:r>
        <w:rPr>
          <w:rFonts w:ascii="Verdana" w:hAnsi="Verdana"/>
          <w:bCs w:val="0"/>
          <w:sz w:val="20"/>
        </w:rPr>
        <w:t xml:space="preserve">    </w:t>
      </w:r>
      <w:r>
        <w:rPr>
          <w:rFonts w:ascii="Verdana" w:hAnsi="Verdana"/>
          <w:b/>
          <w:bCs w:val="0"/>
          <w:sz w:val="20"/>
        </w:rPr>
        <w:t>2.</w:t>
      </w:r>
      <w:r>
        <w:rPr>
          <w:rFonts w:ascii="Verdana" w:hAnsi="Verdana"/>
          <w:bCs w:val="0"/>
          <w:sz w:val="20"/>
        </w:rPr>
        <w:t xml:space="preserve"> Με τα δεδομένα αυτά εισηγούμαι να ληφθεί απόφαση περί ανάθεσης της ειδικής εντολής και της πληρεξουσιότητας στους επί παγία αντιμισθία πληρεξούσιους δικηγόρους του ∆</w:t>
      </w:r>
      <w:proofErr w:type="spellStart"/>
      <w:r>
        <w:rPr>
          <w:rFonts w:ascii="Verdana" w:hAnsi="Verdana"/>
          <w:bCs w:val="0"/>
          <w:sz w:val="20"/>
        </w:rPr>
        <w:t>ήμου</w:t>
      </w:r>
      <w:proofErr w:type="spellEnd"/>
      <w:r>
        <w:rPr>
          <w:rFonts w:ascii="Verdana" w:hAnsi="Verdana"/>
          <w:bCs w:val="0"/>
          <w:sz w:val="20"/>
        </w:rPr>
        <w:t xml:space="preserve"> α) Αριστείδη </w:t>
      </w:r>
      <w:proofErr w:type="spellStart"/>
      <w:r>
        <w:rPr>
          <w:rFonts w:ascii="Verdana" w:hAnsi="Verdana"/>
          <w:bCs w:val="0"/>
          <w:sz w:val="20"/>
        </w:rPr>
        <w:t>Τριγώνη</w:t>
      </w:r>
      <w:proofErr w:type="spellEnd"/>
      <w:r>
        <w:rPr>
          <w:rFonts w:ascii="Verdana" w:hAnsi="Verdana"/>
          <w:bCs w:val="0"/>
          <w:sz w:val="20"/>
        </w:rPr>
        <w:t xml:space="preserve"> (ΑΜ/∆ΣΑ 5477), β) Ηλία </w:t>
      </w:r>
      <w:proofErr w:type="spellStart"/>
      <w:r>
        <w:rPr>
          <w:rFonts w:ascii="Verdana" w:hAnsi="Verdana"/>
          <w:bCs w:val="0"/>
          <w:sz w:val="20"/>
        </w:rPr>
        <w:t>Μπιζάνη</w:t>
      </w:r>
      <w:proofErr w:type="spellEnd"/>
      <w:r>
        <w:rPr>
          <w:rFonts w:ascii="Verdana" w:hAnsi="Verdana"/>
          <w:bCs w:val="0"/>
          <w:sz w:val="20"/>
        </w:rPr>
        <w:t xml:space="preserve"> (ΑΜ/∆ΣΑ 10627) και γ) Ευγενία Παπαθεοδώρου (ΑΜ/∆ΣΑ 20019), οι οποίοι ενεργώντας είτε από κοινού είτε και μεμονωμένα καθένας από αυτούς, να υπερασπιστούν ως πληρεξούσιοι δικηγόροι τον κ. Π</w:t>
      </w:r>
      <w:r w:rsidR="00C228B2">
        <w:rPr>
          <w:rFonts w:ascii="Verdana" w:hAnsi="Verdana"/>
          <w:bCs w:val="0"/>
          <w:sz w:val="20"/>
        </w:rPr>
        <w:t>.</w:t>
      </w:r>
      <w:r>
        <w:rPr>
          <w:rFonts w:ascii="Verdana" w:hAnsi="Verdana"/>
          <w:bCs w:val="0"/>
          <w:sz w:val="20"/>
        </w:rPr>
        <w:t xml:space="preserve"> Κ</w:t>
      </w:r>
      <w:r w:rsidR="00C228B2">
        <w:rPr>
          <w:rFonts w:ascii="Verdana" w:hAnsi="Verdana"/>
          <w:bCs w:val="0"/>
          <w:sz w:val="20"/>
        </w:rPr>
        <w:t>.</w:t>
      </w:r>
      <w:r>
        <w:rPr>
          <w:rFonts w:ascii="Verdana" w:hAnsi="Verdana"/>
          <w:bCs w:val="0"/>
          <w:sz w:val="20"/>
        </w:rPr>
        <w:t xml:space="preserve"> , κατά τη διενεργούμενη σε βάρος του ως άνω προκαταρκτική εξέταση από τον κ. Εισαγγελέα Πλημμελειοδικών Αθηνών διά του Α.Τ Μοσχάτου – Ταύρου </w:t>
      </w:r>
      <w:r>
        <w:rPr>
          <w:rFonts w:ascii="Verdana" w:hAnsi="Verdana" w:cs="Arial"/>
          <w:sz w:val="20"/>
        </w:rPr>
        <w:t xml:space="preserve">(σχηματισθείσα </w:t>
      </w:r>
      <w:r w:rsidR="00DA45E3">
        <w:rPr>
          <w:rFonts w:ascii="Verdana" w:hAnsi="Verdana" w:cs="Arial"/>
          <w:sz w:val="20"/>
        </w:rPr>
        <w:t>δικογραφία με ΑΒΜ Ε 2020/1963 )</w:t>
      </w:r>
      <w:r>
        <w:rPr>
          <w:rFonts w:ascii="Verdana" w:hAnsi="Verdana"/>
          <w:bCs w:val="0"/>
          <w:sz w:val="20"/>
        </w:rPr>
        <w:t>,</w:t>
      </w:r>
      <w:r w:rsidR="008231DE">
        <w:rPr>
          <w:rFonts w:ascii="Verdana" w:hAnsi="Verdana"/>
          <w:bCs w:val="0"/>
          <w:sz w:val="20"/>
        </w:rPr>
        <w:t>να συντάξουν έγγραφες εξηγήσεις</w:t>
      </w:r>
      <w:r>
        <w:rPr>
          <w:rFonts w:ascii="Verdana" w:hAnsi="Verdana"/>
          <w:bCs w:val="0"/>
          <w:sz w:val="20"/>
        </w:rPr>
        <w:t>,</w:t>
      </w:r>
      <w:r w:rsidR="00DA45E3">
        <w:rPr>
          <w:rFonts w:ascii="Verdana" w:hAnsi="Verdana"/>
          <w:bCs w:val="0"/>
          <w:sz w:val="20"/>
        </w:rPr>
        <w:t xml:space="preserve"> </w:t>
      </w:r>
      <w:r>
        <w:rPr>
          <w:rFonts w:ascii="Verdana" w:hAnsi="Verdana"/>
          <w:bCs w:val="0"/>
          <w:sz w:val="20"/>
        </w:rPr>
        <w:t xml:space="preserve">οι οποίες θα κατατεθούν μετά συνημμένων εγγράφων στο Α.Τ καθώς και να τον υπερασπιστούν σε κάθε στάδιο της δίκης και ενώπιον του ακροατηρίου ,σε περίπτωση παραπομπής του  και να προβούν σε κάθε αναγκαία ενέργεια για την υπεράσπισή του  και μάλιστα χωρίς έκδοση γραμματίου προκαταβολής του ∆ΣΑ, σύμφωνα με τις συνδυασμένες διατάξεις των άρθρων </w:t>
      </w:r>
      <w:r>
        <w:rPr>
          <w:rFonts w:ascii="Verdana" w:hAnsi="Verdana" w:cs="Tahoma"/>
          <w:snapToGrid w:val="0"/>
          <w:sz w:val="20"/>
        </w:rPr>
        <w:t>61 παρ. 3 περ. δ του Ν. 4194/2013 – Κώδικας Δικηγόρων (ΦΕΚ Α΄/208/27-9-2013), όπως η διάταξη αυτή αντικαταστάθηκε με το άρθρο 7 παρ. 8β του Ν. 4205/2013</w:t>
      </w:r>
      <w:r>
        <w:rPr>
          <w:rFonts w:ascii="Verdana" w:hAnsi="Verdana" w:cs="Tahoma"/>
          <w:sz w:val="20"/>
        </w:rPr>
        <w:t xml:space="preserve"> και 276 Κώδικα Δήμων και Κοινοτήτων (Ν. 3463/2006 – ΦΕΚ Α΄/114),</w:t>
      </w:r>
      <w:r>
        <w:rPr>
          <w:rFonts w:ascii="Verdana" w:hAnsi="Verdana"/>
          <w:bCs w:val="0"/>
          <w:sz w:val="20"/>
        </w:rPr>
        <w:t xml:space="preserve"> κατά τις οποίες ο ∆</w:t>
      </w:r>
      <w:proofErr w:type="spellStart"/>
      <w:r>
        <w:rPr>
          <w:rFonts w:ascii="Verdana" w:hAnsi="Verdana"/>
          <w:bCs w:val="0"/>
          <w:sz w:val="20"/>
        </w:rPr>
        <w:t>ήμος</w:t>
      </w:r>
      <w:proofErr w:type="spellEnd"/>
      <w:r>
        <w:rPr>
          <w:rFonts w:ascii="Verdana" w:hAnsi="Verdana"/>
          <w:bCs w:val="0"/>
          <w:sz w:val="20"/>
        </w:rPr>
        <w:t xml:space="preserve"> Μοσχάτου –Ταύρου απολαμβάνει όλα ανεξαιρέτως τα διοικητικά, δικαστικά και δικονομικά προνόμια του ∆</w:t>
      </w:r>
      <w:proofErr w:type="spellStart"/>
      <w:r>
        <w:rPr>
          <w:rFonts w:ascii="Verdana" w:hAnsi="Verdana"/>
          <w:bCs w:val="0"/>
          <w:sz w:val="20"/>
        </w:rPr>
        <w:t>ημοσίου</w:t>
      </w:r>
      <w:proofErr w:type="spellEnd"/>
      <w:r>
        <w:rPr>
          <w:rFonts w:ascii="Verdana" w:hAnsi="Verdana"/>
          <w:bCs w:val="0"/>
          <w:sz w:val="20"/>
        </w:rPr>
        <w:t xml:space="preserve">. </w:t>
      </w:r>
    </w:p>
    <w:p w:rsidR="00A437D6" w:rsidRDefault="00A437D6" w:rsidP="00A437D6">
      <w:pPr>
        <w:pStyle w:val="31"/>
        <w:rPr>
          <w:rFonts w:ascii="Verdana" w:hAnsi="Verdana"/>
          <w:sz w:val="20"/>
        </w:rPr>
      </w:pPr>
    </w:p>
    <w:p w:rsidR="00A437D6" w:rsidRDefault="00A437D6" w:rsidP="00A437D6">
      <w:pPr>
        <w:pStyle w:val="31"/>
        <w:rPr>
          <w:rFonts w:ascii="Verdana" w:hAnsi="Verdana"/>
          <w:sz w:val="20"/>
        </w:rPr>
      </w:pPr>
      <w:r>
        <w:rPr>
          <w:rFonts w:ascii="Verdana" w:hAnsi="Verdana" w:cs="Arial"/>
          <w:sz w:val="20"/>
        </w:rPr>
        <w:t xml:space="preserve">    </w:t>
      </w:r>
      <w:r>
        <w:rPr>
          <w:rFonts w:ascii="Verdana" w:hAnsi="Verdana" w:cs="Arial"/>
          <w:b/>
          <w:sz w:val="20"/>
        </w:rPr>
        <w:t>3.</w:t>
      </w:r>
      <w:r>
        <w:rPr>
          <w:rFonts w:ascii="Verdana" w:hAnsi="Verdana" w:cs="Arial"/>
          <w:sz w:val="20"/>
        </w:rPr>
        <w:t xml:space="preserve"> Τέλος, αντίγραφο της πράξης που θα εκδοθεί, να κοινοποιηθεί, στον ενδιαφερόμενο και στη Νομική Υπηρεσία, ώστε να συμπεριληφθεί στη δικογραφία και να προσκομισθεί από τον δικηγόρο ή τους δικηγόρους που θα χειριστούν την υπόθεση</w:t>
      </w:r>
      <w:r>
        <w:rPr>
          <w:rFonts w:ascii="Arial Narrow" w:hAnsi="Arial Narrow" w:cs="Arial"/>
          <w:sz w:val="20"/>
        </w:rPr>
        <w:t xml:space="preserve"> </w:t>
      </w:r>
      <w:r>
        <w:rPr>
          <w:rFonts w:ascii="Verdana" w:hAnsi="Verdana" w:cs="Arial"/>
          <w:sz w:val="20"/>
        </w:rPr>
        <w:t>στον κ. Εισαγγελέα Πλημμελειοδικών Αθηνών</w:t>
      </w:r>
      <w:r w:rsidR="00C228B2">
        <w:rPr>
          <w:rFonts w:ascii="Verdana" w:hAnsi="Verdana" w:cs="Arial"/>
          <w:sz w:val="20"/>
        </w:rPr>
        <w:t xml:space="preserve"> διά του Α.Τ Μοσχάτου – Ταύρου </w:t>
      </w:r>
      <w:r>
        <w:rPr>
          <w:rFonts w:ascii="Verdana" w:hAnsi="Verdana" w:cs="Arial"/>
          <w:sz w:val="20"/>
        </w:rPr>
        <w:t xml:space="preserve">για τη νομιμοποίηση της παράστασής </w:t>
      </w:r>
      <w:r w:rsidR="00C228B2">
        <w:rPr>
          <w:rFonts w:ascii="Verdana" w:hAnsi="Verdana" w:cs="Arial"/>
          <w:sz w:val="20"/>
        </w:rPr>
        <w:t>τ</w:t>
      </w:r>
      <w:r w:rsidR="00FE0736">
        <w:rPr>
          <w:rFonts w:ascii="Verdana" w:hAnsi="Verdana" w:cs="Arial"/>
          <w:sz w:val="20"/>
        </w:rPr>
        <w:t>ους, ως υπερασπιστών του  κ. Π.</w:t>
      </w:r>
      <w:r w:rsidR="00C228B2">
        <w:rPr>
          <w:rFonts w:ascii="Verdana" w:hAnsi="Verdana" w:cs="Arial"/>
          <w:sz w:val="20"/>
        </w:rPr>
        <w:t>Κ</w:t>
      </w:r>
      <w:r>
        <w:rPr>
          <w:rFonts w:ascii="Verdana" w:hAnsi="Verdana" w:cs="Arial"/>
          <w:sz w:val="20"/>
        </w:rPr>
        <w:t>.</w:t>
      </w:r>
    </w:p>
    <w:p w:rsidR="00A437D6" w:rsidRDefault="00A437D6" w:rsidP="00A437D6">
      <w:pPr>
        <w:pStyle w:val="31"/>
        <w:rPr>
          <w:rFonts w:ascii="Arial Narrow" w:hAnsi="Arial Narrow"/>
          <w:sz w:val="16"/>
          <w:szCs w:val="16"/>
        </w:rPr>
      </w:pPr>
    </w:p>
    <w:p w:rsidR="00A437D6" w:rsidRDefault="00A437D6" w:rsidP="00A437D6">
      <w:pPr>
        <w:pStyle w:val="31"/>
        <w:rPr>
          <w:rFonts w:ascii="Verdana" w:hAnsi="Verdana" w:cs="Arial"/>
          <w:sz w:val="20"/>
          <w:szCs w:val="20"/>
        </w:rPr>
      </w:pPr>
      <w:r>
        <w:rPr>
          <w:rFonts w:ascii="Verdana" w:hAnsi="Verdana" w:cs="Arial"/>
          <w:sz w:val="20"/>
        </w:rPr>
        <w:t xml:space="preserve">                                             Μοσχάτο, 12-10-2020</w:t>
      </w:r>
    </w:p>
    <w:p w:rsidR="00A437D6" w:rsidRDefault="00A437D6" w:rsidP="00A437D6">
      <w:pPr>
        <w:pStyle w:val="31"/>
        <w:rPr>
          <w:rFonts w:ascii="Verdana" w:hAnsi="Verdana" w:cs="Times New Roman"/>
          <w:sz w:val="20"/>
        </w:rPr>
      </w:pPr>
      <w:r>
        <w:rPr>
          <w:rFonts w:ascii="Verdana" w:hAnsi="Verdana" w:cs="Arial"/>
          <w:sz w:val="20"/>
        </w:rPr>
        <w:t xml:space="preserve">      </w:t>
      </w:r>
      <w:r w:rsidR="008231DE">
        <w:rPr>
          <w:rFonts w:ascii="Verdana" w:hAnsi="Verdana" w:cs="Arial"/>
          <w:sz w:val="20"/>
        </w:rPr>
        <w:t xml:space="preserve">                              </w:t>
      </w:r>
      <w:r>
        <w:rPr>
          <w:rFonts w:ascii="Verdana" w:hAnsi="Verdana" w:cs="Arial"/>
          <w:sz w:val="20"/>
        </w:rPr>
        <w:t>Ο ∆ΗΜΑΡΧΟΣ ΑΝ∆ΡΕΑΣ Γ. ΕΥΘΥΜΙΟΥ</w:t>
      </w:r>
    </w:p>
    <w:p w:rsidR="0043276C" w:rsidRPr="00746133" w:rsidRDefault="0043276C" w:rsidP="0043276C">
      <w:pPr>
        <w:spacing w:line="360" w:lineRule="auto"/>
        <w:ind w:firstLine="720"/>
        <w:jc w:val="both"/>
        <w:rPr>
          <w:b/>
          <w:sz w:val="28"/>
          <w:szCs w:val="28"/>
          <w:lang w:val="el-GR"/>
        </w:rPr>
      </w:pPr>
    </w:p>
    <w:p w:rsidR="000A0226" w:rsidRPr="00746133" w:rsidRDefault="000A0226">
      <w:pPr>
        <w:rPr>
          <w:lang w:val="el-GR"/>
        </w:rPr>
      </w:pPr>
    </w:p>
    <w:sectPr w:rsidR="000A0226" w:rsidRPr="00746133" w:rsidSect="003F32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43276C"/>
    <w:rsid w:val="00037228"/>
    <w:rsid w:val="000A0226"/>
    <w:rsid w:val="002B6B16"/>
    <w:rsid w:val="002D7B63"/>
    <w:rsid w:val="003F3227"/>
    <w:rsid w:val="003F76AB"/>
    <w:rsid w:val="0043276C"/>
    <w:rsid w:val="005D2FE4"/>
    <w:rsid w:val="00667F71"/>
    <w:rsid w:val="00746133"/>
    <w:rsid w:val="008231DE"/>
    <w:rsid w:val="00886C5C"/>
    <w:rsid w:val="00890FA9"/>
    <w:rsid w:val="008B256D"/>
    <w:rsid w:val="00997E01"/>
    <w:rsid w:val="00A437D6"/>
    <w:rsid w:val="00AD2657"/>
    <w:rsid w:val="00BE1DB9"/>
    <w:rsid w:val="00C228B2"/>
    <w:rsid w:val="00C72DFC"/>
    <w:rsid w:val="00D15C38"/>
    <w:rsid w:val="00D76476"/>
    <w:rsid w:val="00D95B97"/>
    <w:rsid w:val="00DA45E3"/>
    <w:rsid w:val="00E61AFF"/>
    <w:rsid w:val="00F721EF"/>
    <w:rsid w:val="00FE0736"/>
    <w:rsid w:val="00FE5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2F7308-19A8-4FF3-BBC7-33D3FCA01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227"/>
  </w:style>
  <w:style w:type="paragraph" w:styleId="1">
    <w:name w:val="heading 1"/>
    <w:basedOn w:val="a"/>
    <w:next w:val="a"/>
    <w:link w:val="1Char"/>
    <w:qFormat/>
    <w:rsid w:val="0043276C"/>
    <w:pPr>
      <w:keepNext/>
      <w:overflowPunct w:val="0"/>
      <w:autoSpaceDE w:val="0"/>
      <w:autoSpaceDN w:val="0"/>
      <w:adjustRightInd w:val="0"/>
      <w:spacing w:after="0" w:line="240" w:lineRule="auto"/>
      <w:outlineLvl w:val="0"/>
    </w:pPr>
    <w:rPr>
      <w:rFonts w:ascii="Times New Roman" w:eastAsia="Times New Roman" w:hAnsi="Times New Roman" w:cs="Times New Roman"/>
      <w:sz w:val="24"/>
      <w:szCs w:val="20"/>
      <w:lang w:val="el-GR" w:eastAsia="el-GR"/>
    </w:rPr>
  </w:style>
  <w:style w:type="paragraph" w:styleId="4">
    <w:name w:val="heading 4"/>
    <w:basedOn w:val="a"/>
    <w:next w:val="a"/>
    <w:link w:val="4Char"/>
    <w:unhideWhenUsed/>
    <w:qFormat/>
    <w:rsid w:val="0043276C"/>
    <w:pPr>
      <w:keepNext/>
      <w:overflowPunct w:val="0"/>
      <w:autoSpaceDE w:val="0"/>
      <w:autoSpaceDN w:val="0"/>
      <w:adjustRightInd w:val="0"/>
      <w:spacing w:after="0" w:line="240" w:lineRule="auto"/>
      <w:outlineLvl w:val="3"/>
    </w:pPr>
    <w:rPr>
      <w:rFonts w:ascii="Times New Roman" w:eastAsia="Times New Roman" w:hAnsi="Times New Roman"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3276C"/>
    <w:rPr>
      <w:rFonts w:ascii="Times New Roman" w:eastAsia="Times New Roman" w:hAnsi="Times New Roman" w:cs="Times New Roman"/>
      <w:sz w:val="24"/>
      <w:szCs w:val="20"/>
      <w:lang w:val="el-GR" w:eastAsia="el-GR"/>
    </w:rPr>
  </w:style>
  <w:style w:type="character" w:customStyle="1" w:styleId="4Char">
    <w:name w:val="Επικεφαλίδα 4 Char"/>
    <w:basedOn w:val="a0"/>
    <w:link w:val="4"/>
    <w:rsid w:val="0043276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3276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43276C"/>
    <w:rPr>
      <w:rFonts w:ascii="Tahoma" w:hAnsi="Tahoma" w:cs="Tahoma"/>
      <w:sz w:val="16"/>
      <w:szCs w:val="16"/>
    </w:rPr>
  </w:style>
  <w:style w:type="paragraph" w:styleId="a4">
    <w:name w:val="Body Text Indent"/>
    <w:basedOn w:val="a"/>
    <w:link w:val="Char0"/>
    <w:semiHidden/>
    <w:unhideWhenUsed/>
    <w:rsid w:val="00A437D6"/>
    <w:pPr>
      <w:overflowPunct w:val="0"/>
      <w:autoSpaceDE w:val="0"/>
      <w:autoSpaceDN w:val="0"/>
      <w:adjustRightInd w:val="0"/>
      <w:spacing w:after="0" w:line="240" w:lineRule="auto"/>
      <w:ind w:left="360"/>
      <w:jc w:val="both"/>
    </w:pPr>
    <w:rPr>
      <w:rFonts w:ascii="Tahoma" w:eastAsia="Times New Roman" w:hAnsi="Tahoma" w:cs="Times New Roman"/>
      <w:bCs/>
      <w:sz w:val="24"/>
      <w:szCs w:val="20"/>
      <w:lang w:val="el-GR" w:eastAsia="el-GR"/>
    </w:rPr>
  </w:style>
  <w:style w:type="character" w:customStyle="1" w:styleId="Char0">
    <w:name w:val="Σώμα κείμενου με εσοχή Char"/>
    <w:basedOn w:val="a0"/>
    <w:link w:val="a4"/>
    <w:semiHidden/>
    <w:rsid w:val="00A437D6"/>
    <w:rPr>
      <w:rFonts w:ascii="Tahoma" w:eastAsia="Times New Roman" w:hAnsi="Tahoma" w:cs="Times New Roman"/>
      <w:bCs/>
      <w:sz w:val="24"/>
      <w:szCs w:val="20"/>
      <w:lang w:val="el-GR" w:eastAsia="el-GR"/>
    </w:rPr>
  </w:style>
  <w:style w:type="character" w:customStyle="1" w:styleId="BodyText3Char">
    <w:name w:val="Body Text 3 Char"/>
    <w:basedOn w:val="a0"/>
    <w:link w:val="31"/>
    <w:locked/>
    <w:rsid w:val="00A437D6"/>
    <w:rPr>
      <w:rFonts w:ascii="Tahoma" w:hAnsi="Tahoma" w:cs="Tahoma"/>
      <w:sz w:val="24"/>
      <w:lang w:val="el-GR" w:eastAsia="el-GR"/>
    </w:rPr>
  </w:style>
  <w:style w:type="paragraph" w:customStyle="1" w:styleId="31">
    <w:name w:val="Σώμα κείμενου 31"/>
    <w:basedOn w:val="a"/>
    <w:link w:val="BodyText3Char"/>
    <w:rsid w:val="00A437D6"/>
    <w:pPr>
      <w:overflowPunct w:val="0"/>
      <w:autoSpaceDE w:val="0"/>
      <w:autoSpaceDN w:val="0"/>
      <w:adjustRightInd w:val="0"/>
      <w:spacing w:after="0" w:line="240" w:lineRule="auto"/>
      <w:jc w:val="both"/>
    </w:pPr>
    <w:rPr>
      <w:rFonts w:ascii="Tahoma" w:hAnsi="Tahoma" w:cs="Tahoma"/>
      <w:sz w:val="24"/>
      <w:lang w:val="el-GR" w:eastAsia="el-GR"/>
    </w:rPr>
  </w:style>
  <w:style w:type="paragraph" w:customStyle="1" w:styleId="32">
    <w:name w:val="Σώμα κείμενου 32"/>
    <w:basedOn w:val="a"/>
    <w:rsid w:val="008B256D"/>
    <w:pPr>
      <w:overflowPunct w:val="0"/>
      <w:autoSpaceDE w:val="0"/>
      <w:autoSpaceDN w:val="0"/>
      <w:adjustRightInd w:val="0"/>
      <w:spacing w:after="0" w:line="240" w:lineRule="auto"/>
      <w:jc w:val="both"/>
    </w:pPr>
    <w:rPr>
      <w:rFonts w:ascii="Tahoma" w:hAnsi="Tahoma" w:cs="Tahoma"/>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55240">
      <w:bodyDiv w:val="1"/>
      <w:marLeft w:val="0"/>
      <w:marRight w:val="0"/>
      <w:marTop w:val="0"/>
      <w:marBottom w:val="0"/>
      <w:divBdr>
        <w:top w:val="none" w:sz="0" w:space="0" w:color="auto"/>
        <w:left w:val="none" w:sz="0" w:space="0" w:color="auto"/>
        <w:bottom w:val="none" w:sz="0" w:space="0" w:color="auto"/>
        <w:right w:val="none" w:sz="0" w:space="0" w:color="auto"/>
      </w:divBdr>
    </w:div>
    <w:div w:id="997615901">
      <w:bodyDiv w:val="1"/>
      <w:marLeft w:val="0"/>
      <w:marRight w:val="0"/>
      <w:marTop w:val="0"/>
      <w:marBottom w:val="0"/>
      <w:divBdr>
        <w:top w:val="none" w:sz="0" w:space="0" w:color="auto"/>
        <w:left w:val="none" w:sz="0" w:space="0" w:color="auto"/>
        <w:bottom w:val="none" w:sz="0" w:space="0" w:color="auto"/>
        <w:right w:val="none" w:sz="0" w:space="0" w:color="auto"/>
      </w:divBdr>
    </w:div>
    <w:div w:id="1081216944">
      <w:bodyDiv w:val="1"/>
      <w:marLeft w:val="0"/>
      <w:marRight w:val="0"/>
      <w:marTop w:val="0"/>
      <w:marBottom w:val="0"/>
      <w:divBdr>
        <w:top w:val="none" w:sz="0" w:space="0" w:color="auto"/>
        <w:left w:val="none" w:sz="0" w:space="0" w:color="auto"/>
        <w:bottom w:val="none" w:sz="0" w:space="0" w:color="auto"/>
        <w:right w:val="none" w:sz="0" w:space="0" w:color="auto"/>
      </w:divBdr>
    </w:div>
    <w:div w:id="1529683863">
      <w:bodyDiv w:val="1"/>
      <w:marLeft w:val="0"/>
      <w:marRight w:val="0"/>
      <w:marTop w:val="0"/>
      <w:marBottom w:val="0"/>
      <w:divBdr>
        <w:top w:val="none" w:sz="0" w:space="0" w:color="auto"/>
        <w:left w:val="none" w:sz="0" w:space="0" w:color="auto"/>
        <w:bottom w:val="none" w:sz="0" w:space="0" w:color="auto"/>
        <w:right w:val="none" w:sz="0" w:space="0" w:color="auto"/>
      </w:divBdr>
    </w:div>
    <w:div w:id="193562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788</Words>
  <Characters>4261</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DYGrigoratou</cp:lastModifiedBy>
  <cp:revision>18</cp:revision>
  <cp:lastPrinted>2020-10-12T11:02:00Z</cp:lastPrinted>
  <dcterms:created xsi:type="dcterms:W3CDTF">2020-10-12T10:22:00Z</dcterms:created>
  <dcterms:modified xsi:type="dcterms:W3CDTF">2020-10-12T12:07:00Z</dcterms:modified>
</cp:coreProperties>
</file>